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E/>
        <w:autoSpaceDN/>
        <w:bidi w:val="0"/>
        <w:spacing w:line="440" w:lineRule="exact"/>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kinsoku/>
        <w:overflowPunct/>
        <w:topLinePunct w:val="0"/>
        <w:autoSpaceDE/>
        <w:autoSpaceDN/>
        <w:bidi w:val="0"/>
        <w:spacing w:line="440" w:lineRule="exact"/>
        <w:ind w:firstLine="2160" w:firstLineChars="900"/>
        <w:jc w:val="both"/>
        <w:rPr>
          <w:rFonts w:hint="default" w:ascii="仿宋" w:hAnsi="仿宋" w:eastAsia="仿宋" w:cs="仿宋"/>
          <w:kern w:val="0"/>
          <w:sz w:val="24"/>
          <w:szCs w:val="24"/>
          <w:lang w:val="en-US" w:eastAsia="zh-CN"/>
        </w:rPr>
      </w:pP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0"/>
          <w:sz w:val="24"/>
          <w:szCs w:val="24"/>
          <w:lang w:val="en-US" w:eastAsia="zh-CN"/>
        </w:rPr>
        <w:t>编号：CMG-WLZC-03</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“赤壁未来之城一期消防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none"/>
          <w:lang w:eastAsia="zh-CN"/>
        </w:rPr>
        <w:t>赤壁未来之城一期消防</w:t>
      </w:r>
      <w:r>
        <w:rPr>
          <w:rFonts w:hint="eastAsia" w:ascii="仿宋" w:hAnsi="仿宋" w:eastAsia="仿宋" w:cs="仿宋"/>
          <w:sz w:val="24"/>
          <w:szCs w:val="24"/>
          <w:u w:val="none"/>
          <w:lang w:val="en-US" w:eastAsia="zh-CN"/>
        </w:rPr>
        <w:t>工程</w:t>
      </w:r>
      <w:r>
        <w:rPr>
          <w:rFonts w:hint="eastAsia" w:ascii="仿宋" w:hAnsi="仿宋" w:eastAsia="仿宋" w:cs="仿宋"/>
          <w:kern w:val="0"/>
          <w:sz w:val="24"/>
          <w:szCs w:val="24"/>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none"/>
        </w:rPr>
        <w:t>赤壁</w:t>
      </w:r>
      <w:r>
        <w:rPr>
          <w:rFonts w:hint="eastAsia" w:ascii="仿宋" w:hAnsi="仿宋" w:eastAsia="仿宋" w:cs="仿宋"/>
          <w:sz w:val="24"/>
          <w:u w:val="none"/>
          <w:lang w:val="en-US" w:eastAsia="zh-CN"/>
        </w:rPr>
        <w:t>市疾控中心对面</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建筑面积约58000㎡（8#、9#、10#、11#及一期地下室）。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施工图纸范围内消防工程</w:t>
      </w:r>
      <w:r>
        <w:rPr>
          <w:rFonts w:hint="eastAsia" w:ascii="仿宋" w:hAnsi="仿宋" w:eastAsia="仿宋" w:cs="仿宋"/>
          <w:sz w:val="24"/>
          <w:szCs w:val="24"/>
          <w:u w:val="single"/>
          <w:lang w:val="en-US" w:eastAsia="zh-CN"/>
        </w:rPr>
        <w:t>及所有安全文明措施用工。</w:t>
      </w:r>
      <w:r>
        <w:rPr>
          <w:rFonts w:hint="eastAsia" w:ascii="仿宋" w:hAnsi="仿宋" w:eastAsia="仿宋" w:cs="仿宋"/>
          <w:kern w:val="0"/>
          <w:sz w:val="24"/>
          <w:szCs w:val="24"/>
          <w:u w:val="single"/>
          <w:lang w:val="en-US" w:eastAsia="zh-CN"/>
        </w:rPr>
        <w:t>包括但不限于：消火栓系统、喷淋系统、火灾报警及联动系统、稳压系统、通风系统、防排烟系统、防火卷帘系统。防火门工程由甲方负责，乙方配合验收。</w:t>
      </w:r>
      <w:r>
        <w:rPr>
          <w:rFonts w:hint="eastAsia" w:ascii="仿宋" w:hAnsi="仿宋" w:eastAsia="仿宋" w:cs="仿宋"/>
          <w:b/>
          <w:bCs/>
          <w:sz w:val="24"/>
          <w:szCs w:val="24"/>
          <w:u w:val="single"/>
          <w:lang w:val="en-US" w:eastAsia="zh-CN"/>
        </w:rPr>
        <w:t>详见消防施工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4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承包范围内的设备采购、材料采购、保管、安装、检测、系统集成联动调试、竣工图绘制、消防资料整理、归档、竣工移交、通过消防部门验收、质量维修和培训等。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施工范围界限，包括但不限于以下内容。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val="0"/>
          <w:kern w:val="0"/>
          <w:sz w:val="24"/>
          <w:szCs w:val="24"/>
          <w:lang w:val="en-US" w:eastAsia="zh-CN"/>
        </w:rPr>
        <w:t>1.</w:t>
      </w:r>
      <w:r>
        <w:rPr>
          <w:rFonts w:hint="eastAsia" w:ascii="仿宋" w:hAnsi="仿宋" w:eastAsia="仿宋" w:cs="仿宋"/>
          <w:sz w:val="24"/>
          <w:szCs w:val="24"/>
          <w:u w:val="none"/>
          <w:lang w:val="en-US" w:eastAsia="zh-CN"/>
        </w:rPr>
        <w:t>排烟风机、消防喷淋水泵、排污泵等用电设备，由甲方水电班组送电至末端配电箱，其余配电箱设备安装以及出线部分施工由消防专业负责。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b w:val="0"/>
          <w:bCs/>
          <w:sz w:val="24"/>
          <w:szCs w:val="24"/>
          <w:lang w:val="en-US" w:eastAsia="zh-CN"/>
        </w:rPr>
        <w:t>2.</w:t>
      </w:r>
      <w:r>
        <w:rPr>
          <w:rFonts w:hint="eastAsia" w:ascii="仿宋" w:hAnsi="仿宋" w:eastAsia="仿宋" w:cs="仿宋"/>
          <w:sz w:val="24"/>
          <w:szCs w:val="24"/>
          <w:u w:val="none"/>
          <w:lang w:val="en-US" w:eastAsia="zh-CN"/>
        </w:rPr>
        <w:t>消防照明应急灯、疏散指示</w:t>
      </w:r>
      <w:r>
        <w:rPr>
          <w:rFonts w:hint="eastAsia" w:ascii="仿宋" w:hAnsi="仿宋" w:eastAsia="仿宋" w:cs="仿宋"/>
          <w:color w:val="auto"/>
          <w:sz w:val="24"/>
          <w:szCs w:val="24"/>
          <w:u w:val="none"/>
          <w:lang w:val="en-US" w:eastAsia="zh-CN"/>
        </w:rPr>
        <w:t>灯，管线预埋及灯具</w:t>
      </w:r>
      <w:r>
        <w:rPr>
          <w:rFonts w:hint="eastAsia" w:ascii="仿宋" w:hAnsi="仿宋" w:eastAsia="仿宋" w:cs="仿宋"/>
          <w:sz w:val="24"/>
          <w:szCs w:val="24"/>
          <w:u w:val="none"/>
          <w:lang w:val="en-US" w:eastAsia="zh-CN"/>
        </w:rPr>
        <w:t>安装由消防专业负责。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3.消防水箱、消防水泵、排污泵等给排水管道设备安装由消防专业队伍负责。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sz w:val="24"/>
          <w:szCs w:val="24"/>
          <w:u w:val="none"/>
          <w:lang w:val="en-US" w:eastAsia="zh-CN"/>
        </w:rPr>
        <w:t>4.生活水箱给水干管就近从消防水箱给水干管上开口接入，室外给水环管由消防队伍施工。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九、安全及文明施工要求：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u w:val="none"/>
          <w:lang w:val="en-US" w:eastAsia="zh-CN"/>
        </w:rPr>
        <w:t>十、</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总</w:t>
      </w:r>
      <w:r>
        <w:rPr>
          <w:rFonts w:hint="eastAsia" w:ascii="仿宋" w:hAnsi="仿宋" w:eastAsia="仿宋" w:cs="仿宋"/>
          <w:kern w:val="0"/>
          <w:sz w:val="24"/>
          <w:szCs w:val="24"/>
          <w:highlight w:val="none"/>
          <w:u w:val="none"/>
          <w:lang w:val="en-US" w:eastAsia="zh-CN"/>
        </w:rPr>
        <w:t>工期</w:t>
      </w:r>
      <w:r>
        <w:rPr>
          <w:rFonts w:hint="eastAsia" w:ascii="仿宋" w:hAnsi="仿宋" w:eastAsia="仿宋" w:cs="仿宋"/>
          <w:kern w:val="0"/>
          <w:sz w:val="24"/>
          <w:szCs w:val="24"/>
          <w:highlight w:val="none"/>
          <w:u w:val="single"/>
          <w:lang w:val="en-US" w:eastAsia="zh-CN"/>
        </w:rPr>
        <w:t xml:space="preserve"> 360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6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25 </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十一、报名要求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：具有消防设施工程专业承包甲级及以上证书。</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：满足项目人员、设备、资金、工期等合同要求；提供详细施工人员名单。</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b/>
          <w:bCs/>
          <w:sz w:val="24"/>
          <w:szCs w:val="24"/>
          <w:u w:val="none"/>
          <w:lang w:val="en-US" w:eastAsia="zh-CN"/>
        </w:rPr>
        <w:t>报名人及项目负责人至少已完成过一项类似业绩（类似业绩指建筑面积在50000㎡以上的消防业绩）。业绩需满足以下3个条件：①近3年已完成一项经验收合格的类似规模的消防工程，提供合同、发票（原件扫描件），中标通知书（如有），备案证（原件扫描件）。②提供业主单位</w:t>
      </w:r>
      <w:r>
        <w:rPr>
          <w:rFonts w:hint="eastAsia" w:ascii="仿宋" w:hAnsi="仿宋" w:eastAsia="仿宋" w:cs="仿宋"/>
          <w:b/>
          <w:bCs/>
          <w:sz w:val="24"/>
          <w:szCs w:val="24"/>
          <w:lang w:val="en-US" w:eastAsia="zh-CN"/>
        </w:rPr>
        <w:t>联系人、联系电话。</w:t>
      </w:r>
      <w:r>
        <w:rPr>
          <w:rFonts w:hint="eastAsia" w:ascii="仿宋" w:hAnsi="仿宋" w:eastAsia="仿宋" w:cs="仿宋"/>
          <w:b/>
          <w:bCs/>
          <w:sz w:val="24"/>
          <w:szCs w:val="24"/>
          <w:u w:val="none"/>
          <w:lang w:val="en-US" w:eastAsia="zh-CN"/>
        </w:rPr>
        <w:t>③业绩必须为湖北省</w:t>
      </w:r>
      <w:r>
        <w:rPr>
          <w:rFonts w:hint="eastAsia" w:ascii="仿宋" w:hAnsi="仿宋" w:eastAsia="仿宋" w:cs="仿宋"/>
          <w:b/>
          <w:bCs/>
          <w:sz w:val="24"/>
          <w:szCs w:val="24"/>
          <w:vertAlign w:val="baseline"/>
          <w:lang w:val="en-US" w:eastAsia="zh-CN"/>
        </w:rPr>
        <w:t>建筑市场监督与诚信一体化平台或全国建筑市场监督公共服务平台项目。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2022年6月19日至2022年6月22日17:30止。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计总价下浮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highlight w:val="none"/>
          <w:u w:val="none"/>
          <w:lang w:val="en-US" w:eastAsia="zh-CN"/>
        </w:rPr>
      </w:pPr>
      <w:r>
        <w:rPr>
          <w:rFonts w:hint="eastAsia" w:ascii="仿宋" w:hAnsi="仿宋" w:eastAsia="仿宋" w:cs="仿宋"/>
          <w:b/>
          <w:bCs/>
          <w:sz w:val="24"/>
          <w:szCs w:val="24"/>
          <w:u w:val="none"/>
          <w:lang w:val="en-US" w:eastAsia="zh-CN"/>
        </w:rPr>
        <w:t>2.本项目设置</w:t>
      </w:r>
      <w:r>
        <w:rPr>
          <w:rFonts w:hint="eastAsia" w:ascii="仿宋" w:hAnsi="仿宋" w:eastAsia="仿宋" w:cs="仿宋"/>
          <w:b/>
          <w:bCs/>
          <w:sz w:val="24"/>
          <w:szCs w:val="24"/>
          <w:highlight w:val="none"/>
          <w:u w:val="none"/>
          <w:lang w:val="en-US" w:eastAsia="zh-CN"/>
        </w:rPr>
        <w:t>最低下浮比例M（18%），若报价下浮≤18%为无效报价。</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十五、工程款</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本项目无进度款，由承包人全垫资。</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本项目工程款全部来源于“赤壁未来之城”一期项目销售房款，</w:t>
      </w:r>
      <w:r>
        <w:rPr>
          <w:rFonts w:hint="eastAsia" w:ascii="仿宋" w:hAnsi="仿宋" w:eastAsia="仿宋" w:cs="仿宋"/>
          <w:b/>
          <w:bCs/>
          <w:sz w:val="24"/>
          <w:szCs w:val="24"/>
          <w:u w:val="none"/>
          <w:lang w:val="en-US" w:eastAsia="zh-CN"/>
        </w:rPr>
        <w:t>由承包人按营销中心销售价格对外销售。</w:t>
      </w:r>
    </w:p>
    <w:p>
      <w:pPr>
        <w:pStyle w:val="2"/>
        <w:keepNext w:val="0"/>
        <w:keepLines w:val="0"/>
        <w:pageBreakBefore w:val="0"/>
        <w:widowControl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十六、履约保证金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拾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“赤壁未来之城一期消防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b w:val="0"/>
          <w:bCs w:val="0"/>
          <w:sz w:val="24"/>
          <w:szCs w:val="24"/>
          <w:u w:val="single"/>
          <w:lang w:val="en-US" w:eastAsia="zh-CN"/>
        </w:rPr>
        <w:t>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时间:2022年6月22日17时30分。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1.基础资料：营业执照、开户许可证、资质证书（消防设施工程专业承包甲级及以上证书）、法人身份证、委托代理人身份证、授权委托书。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keepNext w:val="0"/>
        <w:keepLines w:val="0"/>
        <w:pageBreakBefore w:val="0"/>
        <w:kinsoku/>
        <w:overflowPunct/>
        <w:topLinePunct w:val="0"/>
        <w:autoSpaceDE/>
        <w:autoSpaceDN/>
        <w:bidi w:val="0"/>
        <w:spacing w:line="440" w:lineRule="exact"/>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备注：报名人请仔细阅读“消防施工合同”“施工图纸”，并对所有内容无异议。一旦中选，按约定的时间签订承包合同；否则，视为自动放弃。</w:t>
      </w:r>
    </w:p>
    <w:bookmarkEnd w:id="0"/>
    <w:bookmarkEnd w:id="5"/>
    <w:bookmarkEnd w:id="6"/>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赤壁未来之城一期消防</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“赤壁未来之城一期消防</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“赤壁</w:t>
      </w:r>
      <w:r>
        <w:rPr>
          <w:rFonts w:hint="eastAsia" w:ascii="仿宋" w:hAnsi="仿宋" w:eastAsia="仿宋" w:cs="仿宋"/>
          <w:sz w:val="24"/>
          <w:szCs w:val="24"/>
          <w:u w:val="single"/>
          <w:lang w:val="en-US" w:eastAsia="zh-CN"/>
        </w:rPr>
        <w:t>未来之城一期消防”</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kinsoku/>
        <w:overflowPunct/>
        <w:topLinePunct w:val="0"/>
        <w:autoSpaceDE/>
        <w:autoSpaceDN/>
        <w:bidi w:val="0"/>
        <w:spacing w:line="440" w:lineRule="exact"/>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备注：报价下浮比例不得</w:t>
      </w:r>
      <w:r>
        <w:rPr>
          <w:rFonts w:hint="eastAsia" w:ascii="仿宋" w:hAnsi="仿宋" w:eastAsia="仿宋" w:cs="仿宋"/>
          <w:sz w:val="24"/>
          <w:szCs w:val="24"/>
          <w:highlight w:val="none"/>
          <w:u w:val="none"/>
          <w:lang w:val="en-US" w:eastAsia="zh-CN"/>
        </w:rPr>
        <w:t>≤18%，且后期不</w:t>
      </w:r>
      <w:r>
        <w:rPr>
          <w:rFonts w:hint="eastAsia" w:ascii="仿宋" w:hAnsi="仿宋" w:eastAsia="仿宋" w:cs="仿宋"/>
          <w:sz w:val="24"/>
          <w:szCs w:val="24"/>
          <w:u w:val="none"/>
          <w:lang w:val="en-US" w:eastAsia="zh-CN"/>
        </w:rPr>
        <w:t xml:space="preserve">作任何调整。未按要求报价的视为无效报价。 </w:t>
      </w:r>
      <w:r>
        <w:rPr>
          <w:rFonts w:hint="eastAsia" w:ascii="仿宋" w:hAnsi="仿宋" w:eastAsia="仿宋" w:cs="仿宋"/>
          <w:b/>
          <w:bCs/>
          <w:sz w:val="24"/>
          <w:szCs w:val="24"/>
          <w:u w:val="none"/>
          <w:lang w:val="en-US" w:eastAsia="zh-CN"/>
        </w:rPr>
        <w:t>请仔细阅读《消防施工合同中约定的工程款支付方式》。</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440" w:lineRule="exact"/>
        <w:jc w:val="left"/>
        <w:textAlignment w:val="auto"/>
        <w:rPr>
          <w:rFonts w:hint="eastAsia" w:ascii="仿宋_GB2312" w:eastAsia="仿宋_GB2312"/>
          <w:sz w:val="24"/>
          <w:szCs w:val="24"/>
          <w:lang w:val="en-US" w:eastAsia="zh-CN"/>
        </w:rPr>
      </w:pPr>
    </w:p>
    <w:p>
      <w:pPr>
        <w:pStyle w:val="2"/>
        <w:keepNext w:val="0"/>
        <w:keepLines w:val="0"/>
        <w:pageBreakBefore w:val="0"/>
        <w:kinsoku/>
        <w:overflowPunct/>
        <w:topLinePunct w:val="0"/>
        <w:autoSpaceDE/>
        <w:autoSpaceDN/>
        <w:bidi w:val="0"/>
        <w:spacing w:line="440" w:lineRule="exact"/>
        <w:rPr>
          <w:rFonts w:hint="eastAsia"/>
          <w:lang w:val="en-US" w:eastAsia="zh-CN"/>
        </w:rPr>
      </w:pPr>
    </w:p>
    <w:p>
      <w:pPr>
        <w:pStyle w:val="2"/>
        <w:keepNext w:val="0"/>
        <w:keepLines w:val="0"/>
        <w:pageBreakBefore w:val="0"/>
        <w:kinsoku/>
        <w:overflowPunct/>
        <w:topLinePunct w:val="0"/>
        <w:autoSpaceDE/>
        <w:autoSpaceDN/>
        <w:bidi w:val="0"/>
        <w:spacing w:line="440" w:lineRule="exact"/>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keepNext w:val="0"/>
        <w:keepLines w:val="0"/>
        <w:pageBreakBefore w:val="0"/>
        <w:kinsoku/>
        <w:overflowPunct/>
        <w:topLinePunct w:val="0"/>
        <w:autoSpaceDE/>
        <w:autoSpaceDN/>
        <w:bidi w:val="0"/>
        <w:spacing w:line="44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3508"/>
      <w:bookmarkStart w:id="9" w:name="_Toc1033"/>
    </w:p>
    <w:p>
      <w:pPr>
        <w:keepNext w:val="0"/>
        <w:keepLines w:val="0"/>
        <w:pageBreakBefore w:val="0"/>
        <w:kinsoku/>
        <w:overflowPunct/>
        <w:topLinePunct w:val="0"/>
        <w:autoSpaceDE/>
        <w:autoSpaceDN/>
        <w:bidi w:val="0"/>
        <w:spacing w:after="312" w:afterLines="100" w:line="440" w:lineRule="exact"/>
        <w:jc w:val="both"/>
        <w:outlineLvl w:val="1"/>
        <w:rPr>
          <w:rFonts w:hint="default"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10"/>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bl>
    <w:p>
      <w:pPr>
        <w:keepNext w:val="0"/>
        <w:keepLines w:val="0"/>
        <w:pageBreakBefore w:val="0"/>
        <w:numPr>
          <w:ilvl w:val="0"/>
          <w:numId w:val="0"/>
        </w:numPr>
        <w:kinsoku/>
        <w:overflowPunct/>
        <w:topLinePunct w:val="0"/>
        <w:autoSpaceDE/>
        <w:autoSpaceDN/>
        <w:bidi w:val="0"/>
        <w:spacing w:line="44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11" w:name="_Toc23981"/>
      <w:bookmarkStart w:id="12" w:name="_Toc15385"/>
      <w:bookmarkStart w:id="13" w:name="_Toc22876"/>
      <w:bookmarkStart w:id="14" w:name="_Toc30813"/>
      <w:bookmarkStart w:id="15" w:name="_Toc14147"/>
      <w:bookmarkStart w:id="16" w:name="_Toc2509"/>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8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8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17" w:name="_Toc23445"/>
      <w:bookmarkStart w:id="18" w:name="_Toc12749"/>
      <w:bookmarkStart w:id="19" w:name="_Toc31659"/>
      <w:bookmarkStart w:id="20" w:name="_Toc31950"/>
      <w:bookmarkStart w:id="21" w:name="_Toc7667"/>
      <w:bookmarkStart w:id="22" w:name="_Toc12822"/>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6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6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23" w:name="_Toc9234"/>
      <w:bookmarkStart w:id="24" w:name="_Toc6331"/>
      <w:bookmarkStart w:id="25" w:name="_Toc156"/>
      <w:bookmarkStart w:id="26" w:name="_Toc9515"/>
      <w:bookmarkStart w:id="27" w:name="_Toc24950"/>
      <w:bookmarkStart w:id="28" w:name="_Toc2340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07"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07"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pPr>
    </w:p>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29" w:name="_Toc1146"/>
      <w:bookmarkStart w:id="30" w:name="_Toc16742"/>
      <w:bookmarkStart w:id="31" w:name="_Toc12086"/>
      <w:bookmarkStart w:id="32" w:name="_Toc22403"/>
      <w:bookmarkStart w:id="33" w:name="_Toc32221"/>
      <w:bookmarkStart w:id="34" w:name="_Toc15910"/>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3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3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ascii="仿宋" w:hAnsi="仿宋" w:eastAsia="仿宋"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35" w:name="_Toc28379"/>
      <w:bookmarkStart w:id="36" w:name="_Toc25921"/>
      <w:bookmarkStart w:id="37" w:name="_Toc64"/>
      <w:bookmarkStart w:id="38" w:name="_Toc27064"/>
      <w:bookmarkStart w:id="39" w:name="_Toc1134"/>
      <w:bookmarkStart w:id="40" w:name="_Toc29993"/>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6"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6"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ascii="仿宋" w:hAnsi="仿宋" w:eastAsia="仿宋"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r>
    </w:tbl>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15911"/>
      <w:bookmarkStart w:id="42" w:name="_Toc27987"/>
    </w:p>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keepNext w:val="0"/>
        <w:keepLines w:val="0"/>
        <w:pageBreakBefore w:val="0"/>
        <w:kinsoku/>
        <w:overflowPunct/>
        <w:topLinePunct w:val="0"/>
        <w:autoSpaceDE/>
        <w:autoSpaceDN/>
        <w:bidi w:val="0"/>
        <w:spacing w:line="440" w:lineRule="exact"/>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“赤壁未来之城一期消防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11.已仔细认真阅读《消防工程</w:t>
      </w:r>
      <w:bookmarkStart w:id="48" w:name="_GoBack"/>
      <w:bookmarkEnd w:id="48"/>
      <w:r>
        <w:rPr>
          <w:rFonts w:hint="eastAsia" w:ascii="仿宋" w:hAnsi="仿宋" w:eastAsia="仿宋" w:cs="仿宋"/>
          <w:b/>
          <w:bCs/>
          <w:sz w:val="24"/>
          <w:szCs w:val="24"/>
          <w:lang w:val="en-US" w:eastAsia="zh-CN"/>
        </w:rPr>
        <w:t>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kinsoku/>
        <w:overflowPunct/>
        <w:topLinePunct w:val="0"/>
        <w:autoSpaceDE/>
        <w:autoSpaceDN/>
        <w:bidi w:val="0"/>
        <w:spacing w:line="440" w:lineRule="exact"/>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keepNext w:val="0"/>
        <w:keepLines w:val="0"/>
        <w:pageBreakBefore w:val="0"/>
        <w:kinsoku/>
        <w:overflowPunct/>
        <w:topLinePunct w:val="0"/>
        <w:autoSpaceDE/>
        <w:autoSpaceDN/>
        <w:bidi w:val="0"/>
        <w:spacing w:line="440" w:lineRule="exact"/>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40" w:lineRule="exact"/>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赤壁未来之城一期消防工程施工合同</w:t>
      </w:r>
    </w:p>
    <w:p>
      <w:pPr>
        <w:pStyle w:val="3"/>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赤壁未来之城一期消防”</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“赤壁未来之城一期消防</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赤壁市疾控中心对面。</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施工图纸范围内消防工程全部施工内容及所有安全文明措施用工</w:t>
      </w:r>
      <w:r>
        <w:rPr>
          <w:rFonts w:hint="eastAsia" w:ascii="仿宋" w:hAnsi="仿宋" w:eastAsia="仿宋" w:cs="仿宋"/>
          <w:kern w:val="2"/>
          <w:sz w:val="24"/>
          <w:szCs w:val="24"/>
          <w:u w:val="single"/>
          <w:lang w:val="en-US" w:eastAsia="zh-CN" w:bidi="ar-SA"/>
        </w:rPr>
        <w:t>。</w:t>
      </w:r>
      <w:r>
        <w:rPr>
          <w:rFonts w:hint="eastAsia" w:ascii="仿宋" w:hAnsi="仿宋" w:eastAsia="仿宋" w:cs="仿宋"/>
          <w:sz w:val="24"/>
          <w:szCs w:val="24"/>
          <w:u w:val="single"/>
          <w:lang w:val="en-US" w:eastAsia="zh-CN"/>
        </w:rPr>
        <w:t>包含但不限于以下内容：</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b/>
          <w:bCs/>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施工图纸范围内所有消防工程及所有安全文明措施用工。</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highlight w:val="none"/>
          <w:u w:val="none"/>
          <w:lang w:val="en-US" w:eastAsia="zh-CN"/>
        </w:rPr>
        <w:t>满足项目进度要求，总工期</w:t>
      </w:r>
      <w:r>
        <w:rPr>
          <w:rFonts w:hint="eastAsia" w:ascii="仿宋" w:hAnsi="仿宋" w:eastAsia="仿宋" w:cs="仿宋"/>
          <w:kern w:val="0"/>
          <w:sz w:val="24"/>
          <w:szCs w:val="24"/>
          <w:highlight w:val="none"/>
          <w:u w:val="single"/>
          <w:lang w:val="en-US" w:eastAsia="zh-CN"/>
        </w:rPr>
        <w:t xml:space="preserve"> 360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6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25</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本项目工程款全部来源于“赤壁未来之城”项目一期销售房款，由承包人按照营销中心对外销售价格进行销售。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7.3</w:t>
      </w:r>
      <w:r>
        <w:rPr>
          <w:rFonts w:hint="eastAsia" w:ascii="仿宋" w:hAnsi="仿宋" w:eastAsia="仿宋" w:cs="仿宋"/>
          <w:sz w:val="24"/>
          <w:szCs w:val="24"/>
          <w:u w:val="single"/>
          <w:lang w:val="en-US" w:eastAsia="zh-CN"/>
        </w:rPr>
        <w:t>由乙方代为销售的房款统一由建设方转入甲方账户，甲方结合工程进度及销售房款资金回笼情况进行支付工程款。但不得突破以下比例：项目完工，甲方预付工程款比例不超过已完成工程总价的60%；项目竣工验收合格，甲方预付工程款比例不超过已完成工程总价的80%；审计完成，甲方预付工程款比例不超过已完成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7.4工程款的支付必须确保农民工工资的发放，工程款不低于30%的资金必须通过甲方民工工资账户代发，以人脸识别系统考勤记录为发放依据，乙方不得截留。否则产生的一切经济及法律责任均由乙方承担。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r>
        <w:rPr>
          <w:rFonts w:hint="eastAsia" w:ascii="仿宋" w:hAnsi="仿宋" w:eastAsia="仿宋" w:cs="仿宋"/>
          <w:b/>
          <w:bCs/>
          <w:sz w:val="24"/>
          <w:szCs w:val="24"/>
          <w:lang w:val="en-US" w:eastAsia="zh-CN"/>
        </w:rPr>
        <w:t>负责审核乙方编制的施工组织方案及材料进场报审单。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b w:val="0"/>
          <w:bCs w:val="0"/>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8.7若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b/>
          <w:bCs/>
          <w:sz w:val="24"/>
          <w:szCs w:val="24"/>
          <w:lang w:val="en-US" w:eastAsia="zh-CN"/>
        </w:rPr>
        <w:t>乙方</w:t>
      </w:r>
      <w:r>
        <w:rPr>
          <w:rFonts w:hint="eastAsia" w:ascii="仿宋" w:hAnsi="仿宋" w:eastAsia="仿宋" w:cs="仿宋"/>
          <w:b/>
          <w:bCs/>
          <w:sz w:val="24"/>
          <w:szCs w:val="24"/>
        </w:rPr>
        <w:t>采购的材料</w:t>
      </w:r>
      <w:r>
        <w:rPr>
          <w:rFonts w:hint="eastAsia" w:ascii="仿宋" w:hAnsi="仿宋" w:eastAsia="仿宋" w:cs="仿宋"/>
          <w:b/>
          <w:bCs/>
          <w:sz w:val="24"/>
          <w:szCs w:val="24"/>
          <w:lang w:val="en-US" w:eastAsia="zh-CN"/>
        </w:rPr>
        <w:t>进场前，必须提供样品，报送材料进场报审表经项目部审批通过后，方可批量采购，进场的材料必须有检测报告、合格证等资料。</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余料、废料由乙方整理成堆，定期清理，未按要求落实的，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5</w:t>
      </w:r>
      <w:r>
        <w:rPr>
          <w:rFonts w:hint="eastAsia" w:ascii="仿宋" w:hAnsi="仿宋" w:eastAsia="仿宋" w:cs="仿宋"/>
          <w:sz w:val="24"/>
          <w:szCs w:val="24"/>
        </w:rPr>
        <w:t>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乙方必须</w:t>
      </w:r>
      <w:r>
        <w:rPr>
          <w:rFonts w:hint="eastAsia" w:ascii="仿宋" w:hAnsi="仿宋" w:eastAsia="仿宋" w:cs="仿宋"/>
          <w:sz w:val="24"/>
          <w:szCs w:val="24"/>
          <w:lang w:val="en-US" w:eastAsia="zh-CN"/>
        </w:rPr>
        <w:t>爱惜现场物资，如有损坏行为，</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r>
        <w:rPr>
          <w:rFonts w:hint="eastAsia" w:ascii="仿宋" w:hAnsi="仿宋" w:eastAsia="仿宋" w:cs="仿宋"/>
          <w:b w:val="0"/>
          <w:bCs w:val="0"/>
          <w:color w:val="auto"/>
          <w:sz w:val="24"/>
          <w:szCs w:val="24"/>
          <w:u w:val="none"/>
          <w:lang w:val="en-US" w:eastAsia="zh-CN"/>
        </w:rPr>
        <w:t>13.8所有工序必须样板先行，未达到业主、甲方、监理要求的，一律不得进入下道工序，未按要求落实，每次罚款5000元。连续2次（含）以上的，直接退场，并按已完成工程量的70%进行结算，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拾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一期工程主体封顶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15.9因乙方未按营销中心对外销售价格进行销售给甲方带来或造成负面影响的，出现此类情况一次，甲方有权在工程款中一次性扣减5万元。出现二次，甲方有权解除合同并按乙方已完成工程量70%予以结算。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消防工程施工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lang w:eastAsia="zh-CN"/>
        </w:rPr>
      </w:pPr>
      <w:r>
        <w:rPr>
          <w:rFonts w:hint="eastAsia" w:ascii="仿宋" w:hAnsi="仿宋" w:eastAsia="仿宋" w:cs="仿宋"/>
          <w:sz w:val="24"/>
          <w:szCs w:val="24"/>
        </w:rPr>
        <w:t>法定代表人</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授权</w:t>
      </w:r>
      <w:r>
        <w:rPr>
          <w:rFonts w:hint="eastAsia" w:ascii="仿宋" w:hAnsi="仿宋" w:eastAsia="仿宋" w:cs="仿宋"/>
          <w:sz w:val="24"/>
          <w:szCs w:val="24"/>
          <w:lang w:val="en-US" w:eastAsia="zh-CN"/>
        </w:rPr>
        <w:t>代理人</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授权</w:t>
      </w:r>
      <w:r>
        <w:rPr>
          <w:rFonts w:hint="eastAsia" w:ascii="仿宋" w:hAnsi="仿宋" w:eastAsia="仿宋" w:cs="仿宋"/>
          <w:sz w:val="24"/>
          <w:szCs w:val="24"/>
          <w:lang w:val="en-US" w:eastAsia="zh-CN"/>
        </w:rPr>
        <w:t>代理</w:t>
      </w:r>
      <w:r>
        <w:rPr>
          <w:rFonts w:hint="eastAsia" w:ascii="仿宋" w:hAnsi="仿宋" w:eastAsia="仿宋" w:cs="仿宋"/>
          <w:sz w:val="24"/>
          <w:szCs w:val="24"/>
        </w:rPr>
        <w:t>人：</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联系</w:t>
      </w: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联系</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keepNext w:val="0"/>
        <w:keepLines w:val="0"/>
        <w:pageBreakBefore w:val="0"/>
        <w:kinsoku/>
        <w:overflowPunct/>
        <w:topLinePunct w:val="0"/>
        <w:autoSpaceDE/>
        <w:autoSpaceDN/>
        <w:bidi w:val="0"/>
        <w:spacing w:line="440" w:lineRule="exact"/>
        <w:ind w:left="0" w:leftChars="0" w:firstLine="0" w:firstLineChars="0"/>
        <w:rPr>
          <w:rFonts w:hint="default"/>
          <w:lang w:val="en-US" w:eastAsia="zh-CN"/>
        </w:rPr>
      </w:pPr>
    </w:p>
    <w:p>
      <w:pPr>
        <w:keepNext w:val="0"/>
        <w:keepLines w:val="0"/>
        <w:pageBreakBefore w:val="0"/>
        <w:kinsoku/>
        <w:overflowPunct/>
        <w:topLinePunct w:val="0"/>
        <w:autoSpaceDE/>
        <w:autoSpaceDN/>
        <w:bidi w:val="0"/>
        <w:spacing w:line="440" w:lineRule="exact"/>
      </w:pPr>
    </w:p>
    <w:p>
      <w:pPr>
        <w:keepNext w:val="0"/>
        <w:keepLines w:val="0"/>
        <w:pageBreakBefore w:val="0"/>
        <w:kinsoku/>
        <w:overflowPunct/>
        <w:topLinePunct w:val="0"/>
        <w:autoSpaceDE/>
        <w:autoSpaceDN/>
        <w:bidi w:val="0"/>
        <w:spacing w:line="440" w:lineRule="exact"/>
      </w:pPr>
    </w:p>
    <w:p>
      <w:pPr>
        <w:keepNext w:val="0"/>
        <w:keepLines w:val="0"/>
        <w:pageBreakBefore w:val="0"/>
        <w:kinsoku/>
        <w:overflowPunct/>
        <w:topLinePunct w:val="0"/>
        <w:autoSpaceDE/>
        <w:autoSpaceDN/>
        <w:bidi w:val="0"/>
        <w:spacing w:line="440" w:lineRule="exact"/>
      </w:pPr>
    </w:p>
    <w:p>
      <w:pPr>
        <w:keepNext w:val="0"/>
        <w:keepLines w:val="0"/>
        <w:pageBreakBefore w:val="0"/>
        <w:kinsoku/>
        <w:overflowPunct/>
        <w:topLinePunct w:val="0"/>
        <w:autoSpaceDE/>
        <w:autoSpaceDN/>
        <w:bidi w:val="0"/>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33354CD-0200-4704-836E-3DE3413C708E}"/>
  </w:font>
  <w:font w:name="仿宋">
    <w:panose1 w:val="02010609060101010101"/>
    <w:charset w:val="86"/>
    <w:family w:val="modern"/>
    <w:pitch w:val="default"/>
    <w:sig w:usb0="800002BF" w:usb1="38CF7CFA" w:usb2="00000016" w:usb3="00000000" w:csb0="00040001" w:csb1="00000000"/>
    <w:embedRegular r:id="rId2" w:fontKey="{5D4F46C9-ABE4-449D-B811-545789B8755C}"/>
  </w:font>
  <w:font w:name="楷体_GB2312">
    <w:panose1 w:val="02010609030101010101"/>
    <w:charset w:val="86"/>
    <w:family w:val="modern"/>
    <w:pitch w:val="default"/>
    <w:sig w:usb0="00000001" w:usb1="080E0000" w:usb2="00000000" w:usb3="00000000" w:csb0="00040000" w:csb1="00000000"/>
    <w:embedRegular r:id="rId3" w:fontKey="{01CFF390-9A91-4247-AC18-D0406B63F619}"/>
  </w:font>
  <w:font w:name="方正小标宋_GBK">
    <w:panose1 w:val="02000000000000000000"/>
    <w:charset w:val="86"/>
    <w:family w:val="auto"/>
    <w:pitch w:val="default"/>
    <w:sig w:usb0="A00002BF" w:usb1="38CF7CFA" w:usb2="00082016" w:usb3="00000000" w:csb0="00040001" w:csb1="00000000"/>
    <w:embedRegular r:id="rId4" w:fontKey="{7A66C759-E19A-4103-A456-A26BDF98D277}"/>
  </w:font>
  <w:font w:name="仿宋_GB2312">
    <w:panose1 w:val="02010609030101010101"/>
    <w:charset w:val="86"/>
    <w:family w:val="modern"/>
    <w:pitch w:val="default"/>
    <w:sig w:usb0="00000001" w:usb1="080E0000" w:usb2="00000000" w:usb3="00000000" w:csb0="00040000" w:csb1="00000000"/>
    <w:embedRegular r:id="rId5" w:fontKey="{29A96DC3-F285-4F61-879B-7371C30EA226}"/>
  </w:font>
  <w:font w:name="微软雅黑">
    <w:panose1 w:val="020B0503020204020204"/>
    <w:charset w:val="86"/>
    <w:family w:val="swiss"/>
    <w:pitch w:val="default"/>
    <w:sig w:usb0="80000287" w:usb1="2ACF3C50" w:usb2="00000016" w:usb3="00000000" w:csb0="0004001F" w:csb1="00000000"/>
    <w:embedRegular r:id="rId6" w:fontKey="{48C1FD25-4CEB-4708-A26E-04FE907D1E8D}"/>
  </w:font>
  <w:font w:name="楷体">
    <w:panose1 w:val="02010609060101010101"/>
    <w:charset w:val="86"/>
    <w:family w:val="auto"/>
    <w:pitch w:val="default"/>
    <w:sig w:usb0="800002BF" w:usb1="38CF7CFA" w:usb2="00000016" w:usb3="00000000" w:csb0="00040001" w:csb1="00000000"/>
    <w:embedRegular r:id="rId7" w:fontKey="{4CA8938F-AA9E-4C2D-A0D9-61F165DFC4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502E771"/>
    <w:multiLevelType w:val="singleLevel"/>
    <w:tmpl w:val="7502E77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3100197"/>
    <w:rsid w:val="039D17D2"/>
    <w:rsid w:val="05972365"/>
    <w:rsid w:val="0F17035E"/>
    <w:rsid w:val="100F22F6"/>
    <w:rsid w:val="14452E07"/>
    <w:rsid w:val="14A92A2D"/>
    <w:rsid w:val="15456FE5"/>
    <w:rsid w:val="16161D88"/>
    <w:rsid w:val="1CA40A88"/>
    <w:rsid w:val="1D192024"/>
    <w:rsid w:val="1D1E3640"/>
    <w:rsid w:val="1F2C6073"/>
    <w:rsid w:val="23E53C5E"/>
    <w:rsid w:val="284D22E2"/>
    <w:rsid w:val="28687B8A"/>
    <w:rsid w:val="286A1161"/>
    <w:rsid w:val="2CE85E16"/>
    <w:rsid w:val="32BC3287"/>
    <w:rsid w:val="345D5BB2"/>
    <w:rsid w:val="36814250"/>
    <w:rsid w:val="3CA77E10"/>
    <w:rsid w:val="3D7D4896"/>
    <w:rsid w:val="3FF027C2"/>
    <w:rsid w:val="40A10B28"/>
    <w:rsid w:val="40D25EF6"/>
    <w:rsid w:val="46946825"/>
    <w:rsid w:val="4B9007C4"/>
    <w:rsid w:val="57852491"/>
    <w:rsid w:val="5B1C6802"/>
    <w:rsid w:val="65CF79D7"/>
    <w:rsid w:val="65E64340"/>
    <w:rsid w:val="679661B2"/>
    <w:rsid w:val="727A5D97"/>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13020</Words>
  <Characters>13647</Characters>
  <Lines>0</Lines>
  <Paragraphs>0</Paragraphs>
  <TotalTime>8</TotalTime>
  <ScaleCrop>false</ScaleCrop>
  <LinksUpToDate>false</LinksUpToDate>
  <CharactersWithSpaces>16248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2022-06-19T08:12:59Z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EFCC33A3F78644A3B70AFBD26F43F903</vt:lpwstr>
  </property>
</Properties>
</file>