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autoSpaceDE/>
        <w:autoSpaceDN/>
        <w:bidi w:val="0"/>
        <w:adjustRightInd/>
        <w:snapToGrid/>
        <w:spacing w:line="460" w:lineRule="exact"/>
        <w:ind w:left="0" w:leftChars="0" w:firstLine="3012" w:firstLineChars="1000"/>
        <w:jc w:val="both"/>
        <w:textAlignment w:val="auto"/>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2"/>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rPr>
      </w:pPr>
      <w:bookmarkStart w:id="1" w:name="_Toc18687"/>
      <w:bookmarkStart w:id="2" w:name="_Toc31855"/>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“钢制乙级防火入户门制作安装”工程。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szCs w:val="24"/>
          <w:u w:val="single"/>
          <w:lang w:val="en-US" w:eastAsia="zh-CN"/>
        </w:rPr>
        <w:t>赤壁市疾控中心对面。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b/>
          <w:bCs/>
          <w:kern w:val="0"/>
          <w:sz w:val="24"/>
          <w:lang w:val="en-US"/>
        </w:rPr>
      </w:pPr>
      <w:r>
        <w:rPr>
          <w:rFonts w:hint="eastAsia" w:ascii="仿宋" w:hAnsi="仿宋" w:eastAsia="仿宋" w:cs="仿宋"/>
          <w:b/>
          <w:bCs/>
          <w:kern w:val="0"/>
          <w:sz w:val="24"/>
          <w:lang w:val="en-US" w:eastAsia="zh-CN"/>
        </w:rPr>
        <w:t>三、项目规模及品牌：</w:t>
      </w:r>
      <w:r>
        <w:rPr>
          <w:rFonts w:hint="eastAsia" w:ascii="仿宋" w:hAnsi="仿宋" w:eastAsia="仿宋" w:cs="仿宋"/>
          <w:sz w:val="24"/>
          <w:szCs w:val="24"/>
          <w:highlight w:val="none"/>
          <w:u w:val="single"/>
          <w:lang w:val="en-US" w:eastAsia="zh-CN"/>
        </w:rPr>
        <w:t>钢制乙级防火入户门HM乙1221（隔热乙级A1.00），1200*2100：459樘。</w:t>
      </w:r>
      <w:r>
        <w:rPr>
          <w:rFonts w:hint="eastAsia" w:ascii="仿宋" w:hAnsi="仿宋" w:eastAsia="仿宋" w:cs="仿宋"/>
          <w:b/>
          <w:bCs/>
          <w:sz w:val="24"/>
          <w:szCs w:val="24"/>
          <w:highlight w:val="none"/>
          <w:u w:val="single"/>
          <w:lang w:val="en-US" w:eastAsia="zh-CN"/>
        </w:rPr>
        <w:t>品牌：美心。</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施工图纸</w:t>
      </w:r>
      <w:r>
        <w:rPr>
          <w:rFonts w:hint="eastAsia" w:ascii="仿宋" w:hAnsi="仿宋" w:eastAsia="仿宋" w:cs="仿宋"/>
          <w:sz w:val="24"/>
          <w:szCs w:val="24"/>
          <w:u w:val="single"/>
          <w:lang w:val="en-US" w:eastAsia="zh-CN"/>
        </w:rPr>
        <w:t>范围</w:t>
      </w:r>
      <w:r>
        <w:rPr>
          <w:rFonts w:hint="eastAsia" w:ascii="仿宋" w:hAnsi="仿宋" w:eastAsia="仿宋" w:cs="仿宋"/>
          <w:sz w:val="24"/>
          <w:szCs w:val="24"/>
          <w:u w:val="single"/>
          <w:lang w:eastAsia="zh-CN"/>
        </w:rPr>
        <w:t>内</w:t>
      </w:r>
      <w:r>
        <w:rPr>
          <w:rFonts w:hint="eastAsia" w:ascii="仿宋" w:hAnsi="仿宋" w:eastAsia="仿宋" w:cs="仿宋"/>
          <w:sz w:val="24"/>
          <w:szCs w:val="24"/>
          <w:u w:val="single"/>
          <w:lang w:val="en-US" w:eastAsia="zh-CN"/>
        </w:rPr>
        <w:t>钢制乙级防火入户门制作、安装、售后及现场安全文明施工。</w:t>
      </w:r>
      <w:r>
        <w:rPr>
          <w:rFonts w:hint="eastAsia" w:ascii="仿宋" w:hAnsi="仿宋" w:eastAsia="仿宋" w:cs="仿宋"/>
          <w:b w:val="0"/>
          <w:bCs w:val="0"/>
          <w:sz w:val="24"/>
          <w:szCs w:val="24"/>
          <w:highlight w:val="none"/>
          <w:u w:val="single"/>
          <w:lang w:val="en-US" w:eastAsia="zh-CN"/>
        </w:rPr>
        <w:t>（2）现场施工用电、用水由发包人承担，因乙方自身办公、住宿等原因产生的水电费均由乙方承担（包括但不限于：管理人员住宿、板房办公等，乙方需在进场前自行安装水电表）；（3）乙方负责支付承包范围内的成品保护费、各阶段验收费、迎检费、杂工费等，因本项目产生的相关费用，甲方有权要求各班组进行合理分摊；（4）施工现场禁止留宿，禁止煮饭，禁止重大安全隐患行为的出现；（5）发包人有权根据承包人现场施工质量、进度、安全、现场文明施工等情况随时调整承包人的承包范围，且承包人应全力配合，需要承包人退场的，发包人按承包人已完成合格工程量70%办理结算</w:t>
      </w:r>
      <w:r>
        <w:rPr>
          <w:rFonts w:hint="eastAsia" w:ascii="仿宋" w:hAnsi="仿宋" w:eastAsia="仿宋" w:cs="仿宋"/>
          <w:b w:val="0"/>
          <w:bCs w:val="0"/>
          <w:kern w:val="0"/>
          <w:sz w:val="24"/>
          <w:szCs w:val="24"/>
          <w:highlight w:val="none"/>
          <w:u w:val="single"/>
          <w:lang w:val="en-US" w:eastAsia="zh-CN"/>
        </w:rPr>
        <w:t>。（6）</w:t>
      </w:r>
      <w:r>
        <w:rPr>
          <w:rFonts w:hint="eastAsia" w:ascii="仿宋" w:hAnsi="仿宋" w:eastAsia="仿宋" w:cs="仿宋"/>
          <w:sz w:val="24"/>
          <w:szCs w:val="24"/>
          <w:u w:val="single"/>
          <w:lang w:val="en-US" w:eastAsia="zh-CN"/>
        </w:rPr>
        <w:t>因承包人自身原因造成项目不能验收，达不到业主方要求的，发包人不支付工程款，所有损失都由承包人自行承担。（7）工程中途因甲方、业主或外部原因造成工程停建、缓建，乙方不得提出任何索赔要求。</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highlight w:val="yellow"/>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2"/>
          <w:sz w:val="24"/>
          <w:szCs w:val="24"/>
          <w:highlight w:val="none"/>
          <w:u w:val="single"/>
          <w:lang w:val="en-US" w:eastAsia="zh-CN" w:bidi="ar-SA"/>
        </w:rPr>
        <w:t>：1、按图纸设计要求提供样品、按图纸要求及规范施工。2、钢制钢制乙级防火入户门：门框板材1.2cm，面板0.8cm，门扇厚度5cm。3、五金配件：上等标准。4、包制作、包安装、包运输、包灌浆、包保护、包资料、包税费、包验收、包售后。5、材料进场前必须取得甲方书面材料确认单，方可进场施工，未按要求落实的，所产生的一切损失均由乙方自行承担。</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kern w:val="0"/>
          <w:sz w:val="24"/>
          <w:szCs w:val="24"/>
          <w:u w:val="single"/>
          <w:lang w:val="en-US" w:eastAsia="zh-CN" w:bidi="ar-SA"/>
        </w:rPr>
        <w:t>包工、包料、包验收、包工期、包安全、包文明施工、包资料、包清扫等，详细内容见《施工合同》。</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总工期60个日历天，自合同签订之日起20天内，首批材料进场安装，</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val="0"/>
          <w:bCs w:val="0"/>
          <w:kern w:val="0"/>
          <w:sz w:val="24"/>
          <w:szCs w:val="24"/>
          <w:highlight w:val="none"/>
          <w:u w:val="single"/>
          <w:lang w:val="en-US" w:eastAsia="zh-CN"/>
        </w:rPr>
        <w:t>（1）报名人需提供</w:t>
      </w:r>
      <w:r>
        <w:rPr>
          <w:rFonts w:hint="eastAsia" w:ascii="仿宋" w:hAnsi="仿宋" w:eastAsia="仿宋" w:cs="仿宋"/>
          <w:b w:val="0"/>
          <w:bCs w:val="0"/>
          <w:color w:val="160B11"/>
          <w:sz w:val="24"/>
          <w:szCs w:val="24"/>
          <w:highlight w:val="none"/>
          <w:u w:val="single"/>
          <w:lang w:val="en-US" w:eastAsia="zh-CN"/>
        </w:rPr>
        <w:t>合法有效的营业执照、建筑装修装饰工程专业承包贰级、安全生产许可证，且证件均在有效期内。（</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highlight w:val="none"/>
          <w:u w:val="single"/>
          <w:lang w:val="en-US" w:eastAsia="zh-CN"/>
        </w:rPr>
        <w:t>类似指钢制乙级防火入户门制安工程，制作安装数量在200樘以上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，不得低于以下标准：现场负责人1名、技术负责人1名、测量施工员1名、专职安全员1名、杂工1名。</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2023年7月15日至 2023年7月17日17:30止。</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1.本项目设置最高限价，最高限价含13%增值税专用发票，</w:t>
      </w:r>
      <w:r>
        <w:rPr>
          <w:rFonts w:hint="eastAsia" w:ascii="仿宋" w:hAnsi="仿宋" w:eastAsia="仿宋" w:cs="仿宋"/>
          <w:b/>
          <w:bCs/>
          <w:kern w:val="0"/>
          <w:sz w:val="24"/>
          <w:szCs w:val="24"/>
          <w:highlight w:val="none"/>
          <w:lang w:val="en-US" w:eastAsia="zh-CN"/>
        </w:rPr>
        <w:t>报</w:t>
      </w:r>
      <w:r>
        <w:rPr>
          <w:rFonts w:hint="eastAsia" w:ascii="仿宋" w:hAnsi="仿宋" w:eastAsia="仿宋" w:cs="仿宋"/>
          <w:b/>
          <w:bCs/>
          <w:kern w:val="0"/>
          <w:sz w:val="24"/>
          <w:szCs w:val="24"/>
          <w:lang w:val="en-US" w:eastAsia="zh-CN"/>
        </w:rPr>
        <w:t>价超过最高限价的报名文件为无效报价。</w:t>
      </w:r>
      <w:bookmarkStart w:id="7" w:name="_GoBack"/>
      <w:bookmarkEnd w:id="7"/>
    </w:p>
    <w:tbl>
      <w:tblPr>
        <w:tblStyle w:val="13"/>
        <w:tblpPr w:leftFromText="180" w:rightFromText="180" w:vertAnchor="text" w:horzAnchor="page" w:tblpX="1979" w:tblpY="332"/>
        <w:tblOverlap w:val="never"/>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787"/>
        <w:gridCol w:w="1337"/>
        <w:gridCol w:w="1281"/>
        <w:gridCol w:w="1773"/>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材料费    （元/樘）</w:t>
            </w:r>
          </w:p>
        </w:tc>
        <w:tc>
          <w:tcPr>
            <w:tcW w:w="128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安装费 （元/樘）</w:t>
            </w:r>
          </w:p>
        </w:tc>
        <w:tc>
          <w:tcPr>
            <w:tcW w:w="17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8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8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HM乙1221（隔热乙级A1.00）钢制乙级防火入户门1200*2100</w:t>
            </w:r>
          </w:p>
        </w:tc>
        <w:tc>
          <w:tcPr>
            <w:tcW w:w="13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28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7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highlight w:val="none"/>
                <w:u w:val="none"/>
                <w:vertAlign w:val="baseline"/>
                <w:lang w:val="en-US" w:eastAsia="zh-CN"/>
              </w:rPr>
              <w:t>（1）材料费：1140元/樘；（2）安装费：160元/樘</w:t>
            </w:r>
          </w:p>
        </w:tc>
        <w:tc>
          <w:tcPr>
            <w:tcW w:w="125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 w:hAnsi="仿宋" w:eastAsia="仿宋" w:cs="仿宋"/>
                <w:b w:val="0"/>
                <w:bCs w:val="0"/>
                <w:sz w:val="21"/>
                <w:szCs w:val="21"/>
                <w:lang w:val="en-US" w:eastAsia="zh-CN"/>
              </w:rPr>
            </w:pPr>
            <w:r>
              <w:rPr>
                <w:rFonts w:hint="eastAsia" w:ascii="仿宋" w:hAnsi="仿宋" w:eastAsia="仿宋" w:cs="仿宋"/>
                <w:b w:val="0"/>
                <w:bCs w:val="0"/>
                <w:sz w:val="24"/>
                <w:szCs w:val="24"/>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16"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w:t>
            </w:r>
            <w:r>
              <w:rPr>
                <w:rFonts w:hint="eastAsia" w:ascii="仿宋" w:hAnsi="仿宋" w:eastAsia="仿宋" w:cs="仿宋"/>
                <w:b w:val="0"/>
                <w:bCs w:val="0"/>
                <w:sz w:val="24"/>
                <w:szCs w:val="24"/>
                <w:highlight w:val="none"/>
                <w:u w:val="none"/>
                <w:vertAlign w:val="baseline"/>
                <w:lang w:val="en-US" w:eastAsia="zh-CN"/>
              </w:rPr>
              <w:t>：</w:t>
            </w:r>
            <w:r>
              <w:rPr>
                <w:rFonts w:hint="eastAsia" w:ascii="仿宋" w:hAnsi="仿宋" w:eastAsia="仿宋" w:cs="仿宋"/>
                <w:b/>
                <w:bCs/>
                <w:color w:val="160B11"/>
                <w:sz w:val="24"/>
                <w:szCs w:val="24"/>
                <w:highlight w:val="none"/>
              </w:rPr>
              <w:t>此单价</w:t>
            </w:r>
            <w:r>
              <w:rPr>
                <w:rFonts w:hint="eastAsia" w:ascii="仿宋" w:hAnsi="仿宋" w:eastAsia="仿宋" w:cs="仿宋"/>
                <w:b/>
                <w:bCs/>
                <w:color w:val="160B11"/>
                <w:sz w:val="24"/>
                <w:szCs w:val="24"/>
                <w:highlight w:val="none"/>
                <w:lang w:val="en-US" w:eastAsia="zh-CN"/>
              </w:rPr>
              <w:t>为含税综合包干单价，</w:t>
            </w:r>
            <w:r>
              <w:rPr>
                <w:rFonts w:hint="eastAsia" w:ascii="仿宋" w:hAnsi="仿宋" w:eastAsia="仿宋" w:cs="仿宋"/>
                <w:b/>
                <w:bCs/>
                <w:color w:val="160B11"/>
                <w:sz w:val="24"/>
                <w:szCs w:val="24"/>
                <w:highlight w:val="none"/>
              </w:rPr>
              <w:t>含</w:t>
            </w:r>
            <w:r>
              <w:rPr>
                <w:rFonts w:hint="eastAsia" w:ascii="仿宋" w:hAnsi="仿宋" w:eastAsia="仿宋" w:cs="仿宋"/>
                <w:b/>
                <w:bCs/>
                <w:color w:val="160B11"/>
                <w:sz w:val="24"/>
                <w:szCs w:val="24"/>
                <w:highlight w:val="none"/>
                <w:lang w:eastAsia="zh-CN"/>
              </w:rPr>
              <w:t>钢制乙级防火入户门</w:t>
            </w:r>
            <w:r>
              <w:rPr>
                <w:rFonts w:hint="eastAsia" w:ascii="仿宋" w:hAnsi="仿宋" w:eastAsia="仿宋" w:cs="仿宋"/>
                <w:b/>
                <w:bCs/>
                <w:color w:val="160B11"/>
                <w:sz w:val="24"/>
                <w:szCs w:val="24"/>
                <w:highlight w:val="none"/>
              </w:rPr>
              <w:t>的门框、门扇、五金配件、油漆、安装、运输、</w:t>
            </w:r>
            <w:r>
              <w:rPr>
                <w:rFonts w:hint="eastAsia" w:ascii="仿宋" w:hAnsi="仿宋" w:eastAsia="仿宋" w:cs="仿宋"/>
                <w:b/>
                <w:bCs/>
                <w:color w:val="160B11"/>
                <w:sz w:val="24"/>
                <w:szCs w:val="24"/>
                <w:highlight w:val="none"/>
                <w:lang w:val="en-US" w:eastAsia="zh-CN"/>
              </w:rPr>
              <w:t>卸货等内容。</w:t>
            </w:r>
          </w:p>
        </w:tc>
      </w:tr>
    </w:tbl>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7</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17</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kinsoku/>
        <w:wordWrap/>
        <w:overflowPunct/>
        <w:topLinePunct w:val="0"/>
        <w:autoSpaceDE/>
        <w:autoSpaceDN/>
        <w:bidi w:val="0"/>
        <w:adjustRightInd/>
        <w:spacing w:line="460" w:lineRule="exact"/>
        <w:textAlignment w:val="auto"/>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End w:id="1"/>
      <w:bookmarkEnd w:id="2"/>
      <w:bookmarkStart w:id="4" w:name="_Toc7864"/>
      <w:bookmarkStart w:id="5" w:name="_Toc22180"/>
    </w:p>
    <w:bookmarkEnd w:id="0"/>
    <w:bookmarkEnd w:id="4"/>
    <w:bookmarkEnd w:id="5"/>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eastAsia" w:ascii="仿宋" w:hAnsi="仿宋" w:eastAsia="仿宋" w:cs="仿宋"/>
          <w:b/>
          <w:bCs/>
          <w:kern w:val="2"/>
          <w:sz w:val="36"/>
          <w:szCs w:val="36"/>
          <w:u w:val="single"/>
          <w:lang w:val="en-US" w:eastAsia="zh-CN" w:bidi="ar-SA"/>
        </w:rPr>
      </w:pPr>
      <w:bookmarkStart w:id="6" w:name="_Toc21973"/>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u w:val="single"/>
          <w:lang w:val="en-US" w:eastAsia="zh-CN" w:bidi="ar-SA"/>
        </w:rPr>
        <w:t>“未来之城一期”</w:t>
      </w:r>
      <w:r>
        <w:rPr>
          <w:rFonts w:hint="eastAsia" w:ascii="仿宋" w:hAnsi="仿宋" w:eastAsia="仿宋" w:cs="仿宋"/>
          <w:b/>
          <w:bCs/>
          <w:kern w:val="2"/>
          <w:sz w:val="36"/>
          <w:szCs w:val="36"/>
          <w:u w:val="none"/>
          <w:lang w:val="en-US" w:eastAsia="zh-CN" w:bidi="ar-SA"/>
        </w:rPr>
        <w:t>项目</w:t>
      </w:r>
      <w:r>
        <w:rPr>
          <w:rFonts w:hint="eastAsia" w:ascii="仿宋" w:hAnsi="仿宋" w:eastAsia="仿宋" w:cs="仿宋"/>
          <w:b/>
          <w:bCs/>
          <w:kern w:val="2"/>
          <w:sz w:val="36"/>
          <w:szCs w:val="36"/>
          <w:u w:val="single"/>
          <w:lang w:val="en-US" w:eastAsia="zh-CN" w:bidi="ar-SA"/>
        </w:rPr>
        <w:t>“钢制乙级防火入户门制作安装”</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br w:type="page"/>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12"/>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“未来之城一期项目“钢制乙级防火入户门制作安装”</w:t>
      </w:r>
      <w:r>
        <w:rPr>
          <w:rFonts w:hint="eastAsia" w:ascii="仿宋" w:hAnsi="仿宋" w:eastAsia="仿宋" w:cs="仿宋"/>
          <w:sz w:val="24"/>
          <w:szCs w:val="24"/>
          <w:u w:val="none"/>
          <w:lang w:eastAsia="zh-CN"/>
        </w:rPr>
        <w:t>工程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ascii="仿宋" w:hAnsi="仿宋" w:eastAsia="仿宋" w:cs="仿宋"/>
          <w:b/>
          <w:bCs/>
          <w:sz w:val="24"/>
          <w:szCs w:val="24"/>
          <w:u w:val="none"/>
          <w:lang w:val="en-US" w:eastAsia="zh-CN"/>
        </w:rPr>
        <w:t>品牌：</w:t>
      </w:r>
      <w:r>
        <w:rPr>
          <w:rFonts w:hint="eastAsia" w:ascii="仿宋" w:hAnsi="仿宋" w:eastAsia="仿宋" w:cs="仿宋"/>
          <w:b/>
          <w:bCs/>
          <w:sz w:val="24"/>
          <w:szCs w:val="24"/>
          <w:u w:val="single"/>
          <w:lang w:val="en-US" w:eastAsia="zh-CN"/>
        </w:rPr>
        <w:t xml:space="preserve"> 美心 </w:t>
      </w:r>
    </w:p>
    <w:tbl>
      <w:tblPr>
        <w:tblStyle w:val="13"/>
        <w:tblpPr w:leftFromText="180" w:rightFromText="180" w:vertAnchor="text" w:horzAnchor="page" w:tblpX="1979" w:tblpY="332"/>
        <w:tblOverlap w:val="never"/>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45"/>
        <w:gridCol w:w="1377"/>
        <w:gridCol w:w="1241"/>
        <w:gridCol w:w="21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4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37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材料费 （元/樘）</w:t>
            </w:r>
          </w:p>
        </w:tc>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安装费（元/樘）</w:t>
            </w: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（含13%专票）</w:t>
            </w:r>
          </w:p>
        </w:tc>
        <w:tc>
          <w:tcPr>
            <w:tcW w:w="1159"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43"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45"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HM乙1221（隔热乙级A1.00）钢制乙级防火入户,1200*2100</w:t>
            </w:r>
          </w:p>
        </w:tc>
        <w:tc>
          <w:tcPr>
            <w:tcW w:w="1377"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1241"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eastAsia" w:ascii="仿宋" w:hAnsi="仿宋" w:eastAsia="仿宋" w:cs="仿宋"/>
                <w:b w:val="0"/>
                <w:bCs w:val="0"/>
                <w:sz w:val="24"/>
                <w:szCs w:val="24"/>
                <w:u w:val="single"/>
                <w:vertAlign w:val="baseline"/>
                <w:lang w:val="en-US" w:eastAsia="zh-CN"/>
              </w:rPr>
            </w:pPr>
          </w:p>
        </w:tc>
        <w:tc>
          <w:tcPr>
            <w:tcW w:w="2100"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（1）材料费：1140元/樘；（2）安装费：160元/樘</w:t>
            </w:r>
          </w:p>
        </w:tc>
        <w:tc>
          <w:tcPr>
            <w:tcW w:w="1159" w:type="dxa"/>
            <w:vAlign w:val="center"/>
          </w:tcPr>
          <w:p>
            <w:pPr>
              <w:pStyle w:val="2"/>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rPr>
                <w:rFonts w:hint="default" w:ascii="仿宋" w:hAnsi="仿宋" w:eastAsia="仿宋" w:cs="仿宋"/>
                <w:sz w:val="21"/>
                <w:szCs w:val="21"/>
                <w:lang w:val="en-US" w:eastAsia="zh-CN"/>
              </w:rPr>
            </w:pPr>
            <w:r>
              <w:rPr>
                <w:rFonts w:hint="eastAsia" w:ascii="仿宋" w:hAnsi="仿宋" w:eastAsia="仿宋" w:cs="仿宋"/>
                <w:sz w:val="24"/>
                <w:szCs w:val="24"/>
                <w:lang w:val="en-US" w:eastAsia="zh-CN"/>
              </w:rPr>
              <w:t>含13%增值税专用发票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665" w:type="dxa"/>
            <w:gridSpan w:val="6"/>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sz w:val="24"/>
                <w:szCs w:val="24"/>
                <w:u w:val="none"/>
                <w:vertAlign w:val="baseline"/>
                <w:lang w:val="en-US" w:eastAsia="zh-CN"/>
              </w:rPr>
              <w:t>备注：此单价为含税综合包干单价，含钢制乙级防火入户门的门框、门扇、五金配件、油漆、安装、运输、卸货等内容。</w:t>
            </w:r>
          </w:p>
        </w:tc>
      </w:tr>
    </w:tbl>
    <w:p>
      <w:pPr>
        <w:pStyle w:val="2"/>
        <w:ind w:left="0" w:leftChars="0" w:firstLine="0" w:firstLineChars="0"/>
        <w:rPr>
          <w:rFonts w:hint="eastAsia" w:ascii="仿宋" w:hAnsi="仿宋" w:eastAsia="仿宋" w:cs="仿宋"/>
          <w:b w:val="0"/>
          <w:bCs w:val="0"/>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val="0"/>
          <w:bCs w:val="0"/>
          <w:sz w:val="24"/>
          <w:szCs w:val="24"/>
          <w:highlight w:val="none"/>
          <w:u w:val="none"/>
          <w:lang w:val="en-US" w:eastAsia="zh-CN"/>
        </w:rPr>
        <w:t>备注：</w:t>
      </w:r>
      <w:r>
        <w:rPr>
          <w:rFonts w:hint="eastAsia" w:ascii="仿宋" w:hAnsi="仿宋" w:eastAsia="仿宋" w:cs="仿宋"/>
          <w:b/>
          <w:bCs/>
          <w:color w:val="160B11"/>
          <w:kern w:val="0"/>
          <w:sz w:val="24"/>
          <w:szCs w:val="24"/>
          <w:highlight w:val="none"/>
        </w:rPr>
        <w:t>1</w:t>
      </w:r>
      <w:r>
        <w:rPr>
          <w:rFonts w:hint="eastAsia" w:ascii="仿宋" w:hAnsi="仿宋" w:eastAsia="仿宋" w:cs="仿宋"/>
          <w:b/>
          <w:bCs/>
          <w:color w:val="160B11"/>
          <w:kern w:val="0"/>
          <w:sz w:val="24"/>
          <w:szCs w:val="24"/>
          <w:highlight w:val="none"/>
          <w:lang w:val="en-US" w:eastAsia="zh-CN"/>
        </w:rPr>
        <w:t>.</w:t>
      </w:r>
      <w:r>
        <w:rPr>
          <w:rFonts w:hint="eastAsia" w:ascii="仿宋" w:hAnsi="仿宋" w:eastAsia="仿宋" w:cs="仿宋"/>
          <w:b/>
          <w:bCs/>
          <w:color w:val="160B11"/>
          <w:sz w:val="24"/>
          <w:szCs w:val="24"/>
          <w:highlight w:val="none"/>
        </w:rPr>
        <w:t>本项目设置</w:t>
      </w:r>
      <w:r>
        <w:rPr>
          <w:rFonts w:hint="eastAsia" w:ascii="仿宋" w:hAnsi="仿宋" w:eastAsia="仿宋" w:cs="仿宋"/>
          <w:b/>
          <w:bCs/>
          <w:color w:val="160B11"/>
          <w:sz w:val="24"/>
          <w:szCs w:val="24"/>
          <w:highlight w:val="none"/>
          <w:lang w:val="en-US" w:eastAsia="zh-CN"/>
        </w:rPr>
        <w:t>最高限价</w:t>
      </w:r>
      <w:r>
        <w:rPr>
          <w:rFonts w:hint="eastAsia" w:ascii="仿宋" w:hAnsi="仿宋" w:eastAsia="仿宋" w:cs="仿宋"/>
          <w:b/>
          <w:bCs/>
          <w:color w:val="160B11"/>
          <w:sz w:val="24"/>
          <w:szCs w:val="24"/>
          <w:highlight w:val="none"/>
          <w:u w:val="none"/>
          <w:lang w:val="en-US" w:eastAsia="zh-CN"/>
        </w:rPr>
        <w:t>，</w:t>
      </w:r>
      <w:r>
        <w:rPr>
          <w:rFonts w:hint="eastAsia" w:ascii="仿宋" w:hAnsi="仿宋" w:eastAsia="仿宋" w:cs="仿宋"/>
          <w:b/>
          <w:bCs/>
          <w:kern w:val="0"/>
          <w:sz w:val="24"/>
          <w:szCs w:val="24"/>
          <w:highlight w:val="none"/>
          <w:lang w:val="en-US" w:eastAsia="zh-CN"/>
        </w:rPr>
        <w:t>最高限价含13%增值税专用发票，</w:t>
      </w:r>
      <w:r>
        <w:rPr>
          <w:rFonts w:hint="eastAsia" w:ascii="仿宋" w:hAnsi="仿宋" w:eastAsia="仿宋" w:cs="仿宋"/>
          <w:b/>
          <w:bCs/>
          <w:color w:val="160B11"/>
          <w:sz w:val="24"/>
          <w:szCs w:val="24"/>
          <w:highlight w:val="none"/>
        </w:rPr>
        <w:t>若报价</w:t>
      </w:r>
      <w:r>
        <w:rPr>
          <w:rFonts w:hint="eastAsia" w:ascii="仿宋" w:hAnsi="仿宋" w:eastAsia="仿宋" w:cs="仿宋"/>
          <w:b/>
          <w:bCs/>
          <w:color w:val="160B11"/>
          <w:sz w:val="24"/>
          <w:szCs w:val="24"/>
          <w:highlight w:val="none"/>
          <w:lang w:val="en-US" w:eastAsia="zh-CN"/>
        </w:rPr>
        <w:t>超过最高限价</w:t>
      </w:r>
      <w:r>
        <w:rPr>
          <w:rFonts w:hint="eastAsia" w:ascii="仿宋" w:hAnsi="仿宋" w:eastAsia="仿宋" w:cs="仿宋"/>
          <w:b/>
          <w:bCs/>
          <w:color w:val="160B11"/>
          <w:sz w:val="24"/>
          <w:szCs w:val="24"/>
          <w:highlight w:val="none"/>
        </w:rPr>
        <w:t>为无效报价。</w:t>
      </w:r>
      <w:r>
        <w:rPr>
          <w:rFonts w:hint="eastAsia" w:ascii="仿宋" w:hAnsi="仿宋" w:eastAsia="仿宋" w:cs="仿宋"/>
          <w:b/>
          <w:bCs/>
          <w:kern w:val="0"/>
          <w:sz w:val="24"/>
          <w:szCs w:val="24"/>
          <w:highlight w:val="none"/>
          <w:lang w:val="en-US" w:eastAsia="zh-CN"/>
        </w:rPr>
        <w:t>2.报价应是施工图纸及施工合同所确定的工程范围内全部工程内容的价格表现。3.本项目采用全费用包干单价。</w:t>
      </w:r>
      <w:r>
        <w:rPr>
          <w:rFonts w:hint="eastAsia" w:ascii="仿宋" w:hAnsi="仿宋" w:eastAsia="仿宋" w:cs="仿宋"/>
          <w:kern w:val="0"/>
          <w:sz w:val="24"/>
          <w:szCs w:val="24"/>
          <w:highlight w:val="none"/>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r>
        <w:rPr>
          <w:rFonts w:hint="eastAsia" w:ascii="仿宋" w:hAnsi="仿宋" w:eastAsia="仿宋" w:cs="仿宋"/>
          <w:b/>
          <w:bCs/>
          <w:kern w:val="0"/>
          <w:sz w:val="24"/>
          <w:szCs w:val="24"/>
          <w:highlight w:val="none"/>
          <w:lang w:val="en-US" w:eastAsia="zh-CN"/>
        </w:rPr>
        <w:t>4.报名人应对所报的综合单价负责，一旦中选，其报价不作增加性调整，</w:t>
      </w:r>
      <w:r>
        <w:rPr>
          <w:rFonts w:hint="eastAsia" w:ascii="仿宋" w:hAnsi="仿宋" w:eastAsia="仿宋" w:cs="仿宋"/>
          <w:kern w:val="0"/>
          <w:sz w:val="24"/>
          <w:szCs w:val="24"/>
          <w:highlight w:val="none"/>
          <w:lang w:val="en-US" w:eastAsia="zh-CN"/>
        </w:rPr>
        <w:t>实施过程中各类需要增补的费用均由报名人自行承担。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0"/>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spacing w:line="432" w:lineRule="auto"/>
        <w:rPr>
          <w:rFonts w:hint="default" w:ascii="仿宋" w:hAnsi="仿宋" w:eastAsia="仿宋" w:cs="仿宋"/>
          <w:b/>
          <w:bCs w:val="0"/>
          <w:sz w:val="28"/>
          <w:szCs w:val="28"/>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sectPr>
          <w:footerReference r:id="rId6" w:type="default"/>
          <w:pgSz w:w="11906" w:h="16838"/>
          <w:pgMar w:top="1440" w:right="1800" w:bottom="1440" w:left="1800" w:header="851" w:footer="992" w:gutter="0"/>
          <w:cols w:space="425" w:num="1"/>
          <w:docGrid w:type="lines" w:linePitch="312" w:charSpace="0"/>
        </w:sectPr>
      </w:pPr>
    </w:p>
    <w:p>
      <w:pPr>
        <w:spacing w:after="312" w:afterLines="100" w:line="480" w:lineRule="exact"/>
        <w:outlineLvl w:val="1"/>
        <w:rPr>
          <w:rFonts w:hint="eastAsia" w:ascii="仿宋" w:hAnsi="仿宋" w:eastAsia="仿宋" w:cs="仿宋"/>
          <w:b/>
          <w:bCs/>
          <w:sz w:val="30"/>
          <w:szCs w:val="30"/>
          <w:lang w:val="en-US" w:eastAsia="zh-CN"/>
        </w:rPr>
      </w:pPr>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r>
        <w:rPr>
          <w:rFonts w:hint="eastAsia" w:ascii="仿宋" w:hAnsi="仿宋" w:eastAsia="仿宋" w:cs="仿宋"/>
          <w:b/>
          <w:bCs/>
          <w:sz w:val="30"/>
          <w:szCs w:val="30"/>
          <w:lang w:val="en-US" w:eastAsia="zh-CN"/>
        </w:rPr>
        <w:t>简历</w:t>
      </w:r>
    </w:p>
    <w:tbl>
      <w:tblPr>
        <w:tblStyle w:val="12"/>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7"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1、项目进度计划表</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2、安全管理措施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3、质量管理措施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4、文明施工管理措施</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r>
        <w:rPr>
          <w:rFonts w:hint="eastAsia" w:ascii="仿宋" w:hAnsi="仿宋" w:eastAsia="仿宋" w:cs="仿宋"/>
          <w:b/>
          <w:bCs/>
          <w:sz w:val="28"/>
          <w:szCs w:val="28"/>
        </w:rPr>
        <w:t>5、承接本工程的优势</w:t>
      </w:r>
    </w:p>
    <w:tbl>
      <w:tblPr>
        <w:tblStyle w:val="12"/>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2"/>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r>
        <w:rPr>
          <w:rFonts w:hint="eastAsia"/>
          <w:lang w:eastAsia="zh-CN"/>
        </w:rPr>
        <w:t>、</w:t>
      </w:r>
      <w:r>
        <w:rPr>
          <w:rFonts w:hint="eastAsia"/>
          <w:lang w:val="en-US" w:eastAsia="zh-CN"/>
        </w:rPr>
        <w:t>发票</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p>
    <w:tbl>
      <w:tblPr>
        <w:tblStyle w:val="12"/>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r>
              <w:rPr>
                <w:rFonts w:hint="eastAsia"/>
              </w:rPr>
              <w:t>序号</w:t>
            </w:r>
          </w:p>
        </w:tc>
        <w:tc>
          <w:tcPr>
            <w:tcW w:w="1604" w:type="dxa"/>
            <w:vAlign w:val="center"/>
          </w:tcPr>
          <w:p>
            <w:pPr>
              <w:pStyle w:val="7"/>
              <w:adjustRightInd w:val="0"/>
              <w:snapToGrid w:val="0"/>
              <w:spacing w:line="400" w:lineRule="atLeast"/>
              <w:jc w:val="center"/>
            </w:pPr>
            <w:r>
              <w:rPr>
                <w:rFonts w:hint="eastAsia"/>
              </w:rPr>
              <w:t>设备名称</w:t>
            </w:r>
          </w:p>
        </w:tc>
        <w:tc>
          <w:tcPr>
            <w:tcW w:w="1134" w:type="dxa"/>
            <w:vAlign w:val="center"/>
          </w:tcPr>
          <w:p>
            <w:pPr>
              <w:pStyle w:val="7"/>
              <w:adjustRightInd w:val="0"/>
              <w:snapToGrid w:val="0"/>
              <w:spacing w:line="400" w:lineRule="atLeast"/>
              <w:jc w:val="center"/>
            </w:pPr>
            <w:r>
              <w:rPr>
                <w:rFonts w:hint="eastAsia"/>
              </w:rPr>
              <w:t>型号规格</w:t>
            </w:r>
          </w:p>
        </w:tc>
        <w:tc>
          <w:tcPr>
            <w:tcW w:w="979" w:type="dxa"/>
            <w:vAlign w:val="center"/>
          </w:tcPr>
          <w:p>
            <w:pPr>
              <w:pStyle w:val="7"/>
              <w:adjustRightInd w:val="0"/>
              <w:snapToGrid w:val="0"/>
              <w:spacing w:line="400" w:lineRule="atLeast"/>
              <w:jc w:val="center"/>
            </w:pPr>
            <w:r>
              <w:rPr>
                <w:rFonts w:hint="eastAsia"/>
              </w:rPr>
              <w:t>数量</w:t>
            </w:r>
          </w:p>
        </w:tc>
        <w:tc>
          <w:tcPr>
            <w:tcW w:w="943" w:type="dxa"/>
            <w:vAlign w:val="center"/>
          </w:tcPr>
          <w:p>
            <w:pPr>
              <w:pStyle w:val="7"/>
              <w:adjustRightInd w:val="0"/>
              <w:snapToGrid w:val="0"/>
              <w:spacing w:line="400" w:lineRule="atLeast"/>
              <w:jc w:val="center"/>
            </w:pPr>
            <w:r>
              <w:rPr>
                <w:rFonts w:hint="eastAsia"/>
              </w:rPr>
              <w:t>产地</w:t>
            </w:r>
          </w:p>
        </w:tc>
        <w:tc>
          <w:tcPr>
            <w:tcW w:w="1166" w:type="dxa"/>
            <w:vAlign w:val="center"/>
          </w:tcPr>
          <w:p>
            <w:pPr>
              <w:pStyle w:val="7"/>
              <w:adjustRightInd w:val="0"/>
              <w:snapToGrid w:val="0"/>
              <w:spacing w:line="400" w:lineRule="atLeast"/>
              <w:jc w:val="center"/>
            </w:pPr>
            <w:r>
              <w:rPr>
                <w:rFonts w:hint="eastAsia"/>
              </w:rPr>
              <w:t>现存放点</w:t>
            </w:r>
          </w:p>
        </w:tc>
        <w:tc>
          <w:tcPr>
            <w:tcW w:w="1542" w:type="dxa"/>
            <w:vAlign w:val="center"/>
          </w:tcPr>
          <w:p>
            <w:pPr>
              <w:pStyle w:val="7"/>
              <w:adjustRightInd w:val="0"/>
              <w:snapToGrid w:val="0"/>
              <w:spacing w:line="400" w:lineRule="atLeast"/>
              <w:jc w:val="center"/>
            </w:pPr>
            <w:r>
              <w:rPr>
                <w:rFonts w:hint="eastAsia"/>
              </w:rPr>
              <w:t>进场时间</w:t>
            </w:r>
          </w:p>
        </w:tc>
        <w:tc>
          <w:tcPr>
            <w:tcW w:w="898" w:type="dxa"/>
            <w:vAlign w:val="center"/>
          </w:tcPr>
          <w:p>
            <w:pPr>
              <w:pStyle w:val="7"/>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7"/>
              <w:adjustRightInd w:val="0"/>
              <w:snapToGrid w:val="0"/>
              <w:spacing w:line="400" w:lineRule="atLeast"/>
              <w:jc w:val="center"/>
            </w:pPr>
          </w:p>
        </w:tc>
        <w:tc>
          <w:tcPr>
            <w:tcW w:w="1604" w:type="dxa"/>
            <w:vAlign w:val="center"/>
          </w:tcPr>
          <w:p>
            <w:pPr>
              <w:pStyle w:val="7"/>
              <w:adjustRightInd w:val="0"/>
              <w:snapToGrid w:val="0"/>
              <w:spacing w:line="400" w:lineRule="atLeast"/>
              <w:jc w:val="center"/>
            </w:pPr>
          </w:p>
        </w:tc>
        <w:tc>
          <w:tcPr>
            <w:tcW w:w="1134" w:type="dxa"/>
            <w:vAlign w:val="center"/>
          </w:tcPr>
          <w:p>
            <w:pPr>
              <w:pStyle w:val="7"/>
              <w:adjustRightInd w:val="0"/>
              <w:snapToGrid w:val="0"/>
              <w:spacing w:line="400" w:lineRule="atLeast"/>
              <w:jc w:val="center"/>
            </w:pPr>
          </w:p>
        </w:tc>
        <w:tc>
          <w:tcPr>
            <w:tcW w:w="979" w:type="dxa"/>
            <w:vAlign w:val="center"/>
          </w:tcPr>
          <w:p>
            <w:pPr>
              <w:pStyle w:val="7"/>
              <w:adjustRightInd w:val="0"/>
              <w:snapToGrid w:val="0"/>
              <w:spacing w:line="400" w:lineRule="atLeast"/>
              <w:jc w:val="center"/>
            </w:pPr>
          </w:p>
        </w:tc>
        <w:tc>
          <w:tcPr>
            <w:tcW w:w="943" w:type="dxa"/>
            <w:vAlign w:val="center"/>
          </w:tcPr>
          <w:p>
            <w:pPr>
              <w:pStyle w:val="7"/>
              <w:adjustRightInd w:val="0"/>
              <w:snapToGrid w:val="0"/>
              <w:spacing w:line="400" w:lineRule="atLeast"/>
              <w:jc w:val="center"/>
            </w:pPr>
          </w:p>
        </w:tc>
        <w:tc>
          <w:tcPr>
            <w:tcW w:w="1166" w:type="dxa"/>
            <w:vAlign w:val="center"/>
          </w:tcPr>
          <w:p>
            <w:pPr>
              <w:pStyle w:val="7"/>
              <w:adjustRightInd w:val="0"/>
              <w:snapToGrid w:val="0"/>
              <w:spacing w:line="400" w:lineRule="atLeast"/>
              <w:jc w:val="center"/>
            </w:pPr>
          </w:p>
        </w:tc>
        <w:tc>
          <w:tcPr>
            <w:tcW w:w="1542" w:type="dxa"/>
            <w:vAlign w:val="center"/>
          </w:tcPr>
          <w:p>
            <w:pPr>
              <w:pStyle w:val="7"/>
              <w:adjustRightInd w:val="0"/>
              <w:snapToGrid w:val="0"/>
              <w:spacing w:line="400" w:lineRule="atLeast"/>
              <w:jc w:val="center"/>
            </w:pPr>
          </w:p>
        </w:tc>
        <w:tc>
          <w:tcPr>
            <w:tcW w:w="898" w:type="dxa"/>
            <w:vAlign w:val="center"/>
          </w:tcPr>
          <w:p>
            <w:pPr>
              <w:pStyle w:val="7"/>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p>
    <w:tbl>
      <w:tblPr>
        <w:tblStyle w:val="12"/>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有从事过相关工程，身体健康，符合最新用工条件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p>
    <w:p>
      <w:pPr>
        <w:pStyle w:val="2"/>
        <w:keepNext w:val="0"/>
        <w:keepLines w:val="0"/>
        <w:pageBreakBefore w:val="0"/>
        <w:widowControl w:val="0"/>
        <w:kinsoku/>
        <w:wordWrap/>
        <w:overflowPunct/>
        <w:topLinePunct w:val="0"/>
        <w:autoSpaceDE/>
        <w:autoSpaceDN/>
        <w:bidi w:val="0"/>
        <w:spacing w:line="420" w:lineRule="exact"/>
        <w:ind w:firstLine="0"/>
        <w:textAlignment w:val="auto"/>
        <w:rPr>
          <w:rFonts w:ascii="仿宋" w:hAnsi="仿宋" w:eastAsia="仿宋" w:cs="仿宋"/>
          <w:sz w:val="24"/>
          <w:szCs w:val="24"/>
        </w:rPr>
      </w:pPr>
      <w:r>
        <w:rPr>
          <w:rFonts w:hint="eastAsia" w:ascii="仿宋" w:hAnsi="仿宋" w:eastAsia="仿宋" w:cs="仿宋"/>
          <w:sz w:val="24"/>
          <w:szCs w:val="24"/>
        </w:rPr>
        <w:t>赤壁市赤马港建筑安装工程有限公司：</w:t>
      </w:r>
    </w:p>
    <w:p>
      <w:pPr>
        <w:pStyle w:val="2"/>
        <w:keepNext w:val="0"/>
        <w:keepLines w:val="0"/>
        <w:pageBreakBefore w:val="0"/>
        <w:widowControl w:val="0"/>
        <w:kinsoku/>
        <w:wordWrap/>
        <w:overflowPunct/>
        <w:topLinePunct w:val="0"/>
        <w:autoSpaceDE/>
        <w:autoSpaceDN/>
        <w:bidi w:val="0"/>
        <w:spacing w:line="420" w:lineRule="exact"/>
        <w:ind w:firstLineChars="200"/>
        <w:textAlignment w:val="auto"/>
        <w:rPr>
          <w:rFonts w:ascii="仿宋" w:hAnsi="仿宋" w:eastAsia="仿宋" w:cs="仿宋"/>
          <w:sz w:val="24"/>
          <w:szCs w:val="24"/>
        </w:rPr>
      </w:pPr>
      <w:r>
        <w:rPr>
          <w:rFonts w:hint="eastAsia" w:ascii="仿宋" w:hAnsi="仿宋" w:eastAsia="仿宋" w:cs="仿宋"/>
          <w:sz w:val="24"/>
          <w:szCs w:val="24"/>
        </w:rPr>
        <w:t>我司对贵司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1.我司自愿在报名文件规定时限内按照报名文件要求完成报名任务。</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2.遵守相关法律法规的规定，自觉维护市场经济秩序。否则，同意被废除报名资格并接受处罚。</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3.报名文件内容无任何虚假。若评审过程中查出有虚假，同意作无效报名文件处理；若入选后查出有虚假，同意废除入选资格。</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4.我</w:t>
      </w:r>
      <w:r>
        <w:rPr>
          <w:rFonts w:hint="eastAsia" w:ascii="仿宋" w:hAnsi="仿宋" w:eastAsia="仿宋" w:cs="仿宋"/>
          <w:b/>
          <w:bCs/>
          <w:sz w:val="24"/>
          <w:szCs w:val="24"/>
          <w:lang w:val="en-US" w:eastAsia="zh-CN"/>
        </w:rPr>
        <w:t>司</w:t>
      </w:r>
      <w:r>
        <w:rPr>
          <w:rFonts w:hint="eastAsia" w:ascii="仿宋" w:hAnsi="仿宋" w:eastAsia="仿宋" w:cs="仿宋"/>
          <w:b/>
          <w:bCs/>
          <w:sz w:val="24"/>
          <w:szCs w:val="24"/>
        </w:rPr>
        <w:t>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rPr>
      </w:pPr>
      <w:r>
        <w:rPr>
          <w:rFonts w:hint="eastAsia" w:ascii="仿宋" w:hAnsi="仿宋" w:eastAsia="仿宋" w:cs="仿宋"/>
          <w:b/>
          <w:bCs/>
          <w:sz w:val="24"/>
          <w:szCs w:val="24"/>
        </w:rPr>
        <w:t>8.已仔细阅读图纸，严格按照图纸及规范要求施工，</w:t>
      </w:r>
      <w:r>
        <w:rPr>
          <w:rFonts w:hint="eastAsia" w:ascii="仿宋" w:hAnsi="仿宋" w:eastAsia="仿宋" w:cs="仿宋"/>
          <w:sz w:val="24"/>
          <w:szCs w:val="24"/>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10.中选后按报名文件</w:t>
      </w:r>
      <w:r>
        <w:rPr>
          <w:rFonts w:hint="eastAsia" w:ascii="仿宋" w:hAnsi="仿宋" w:eastAsia="仿宋" w:cs="仿宋"/>
          <w:sz w:val="24"/>
          <w:szCs w:val="24"/>
          <w:highlight w:val="none"/>
        </w:rPr>
        <w:t>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w:t>
      </w:r>
      <w:r>
        <w:rPr>
          <w:rFonts w:hint="eastAsia" w:ascii="仿宋" w:hAnsi="仿宋" w:eastAsia="仿宋" w:cs="仿宋"/>
          <w:sz w:val="24"/>
          <w:szCs w:val="24"/>
        </w:rPr>
        <w:t>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eastAsia="仿宋"/>
          <w:sz w:val="24"/>
          <w:szCs w:val="24"/>
        </w:rPr>
      </w:pPr>
      <w:r>
        <w:rPr>
          <w:rFonts w:hint="eastAsia" w:ascii="仿宋" w:hAnsi="仿宋" w:eastAsia="仿宋" w:cs="仿宋"/>
          <w:sz w:val="24"/>
          <w:szCs w:val="24"/>
        </w:rPr>
        <w:t>11.现场负责人具有类似工作经验，且在岗时间不低于95%。否则，贵司有权开具罚单。</w:t>
      </w:r>
    </w:p>
    <w:p>
      <w:pPr>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rPr>
        <w:t>12.已仔细认真阅读《施工合同》，同意施工合同全部条款。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sz w:val="24"/>
          <w:szCs w:val="24"/>
        </w:rPr>
      </w:pPr>
      <w:r>
        <w:rPr>
          <w:rFonts w:hint="eastAsia" w:ascii="仿宋" w:hAnsi="仿宋" w:eastAsia="仿宋" w:cs="仿宋"/>
          <w:sz w:val="24"/>
          <w:szCs w:val="24"/>
        </w:rPr>
        <w:t>13.按合同工期施工，每逾期一天，自愿按1000元/天向贵司支付违约金。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2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特此承诺！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报名单位（公章）：</w:t>
      </w:r>
      <w:r>
        <w:rPr>
          <w:rFonts w:hint="eastAsia" w:ascii="仿宋" w:hAnsi="仿宋" w:eastAsia="仿宋" w:cs="仿宋"/>
          <w:sz w:val="24"/>
          <w:szCs w:val="24"/>
          <w:u w:val="single"/>
        </w:rPr>
        <w:t xml:space="preserve">                 </w:t>
      </w:r>
    </w:p>
    <w:p>
      <w:pPr>
        <w:tabs>
          <w:tab w:val="left" w:pos="3261"/>
        </w:tabs>
        <w:adjustRightInd w:val="0"/>
        <w:snapToGrid w:val="0"/>
        <w:spacing w:line="480" w:lineRule="exact"/>
        <w:ind w:firstLine="4080" w:firstLineChars="1700"/>
        <w:rPr>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8"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“未来之城一期”项目“钢制乙级防火入户门制作安装”工程</w:t>
      </w: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1"/>
        <w:keepNext w:val="0"/>
        <w:keepLines w:val="0"/>
        <w:pageBreakBefore w:val="0"/>
        <w:kinsoku/>
        <w:wordWrap/>
        <w:overflowPunct/>
        <w:topLinePunct w:val="0"/>
        <w:autoSpaceDE/>
        <w:autoSpaceDN/>
        <w:bidi w:val="0"/>
        <w:snapToGrid/>
        <w:spacing w:before="0" w:beforeAutospacing="0" w:after="0" w:afterAutospacing="0" w:line="480" w:lineRule="exact"/>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“未来之城一期”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“钢制乙级防火入户门制作安装”</w:t>
      </w:r>
      <w:r>
        <w:rPr>
          <w:rFonts w:hint="eastAsia" w:ascii="仿宋" w:hAnsi="仿宋" w:eastAsia="仿宋" w:cs="仿宋"/>
          <w:color w:val="160B11"/>
          <w:sz w:val="24"/>
          <w:szCs w:val="24"/>
          <w:u w:val="none"/>
          <w:lang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“未来之城一期”</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“钢制乙级防火入户门制作安装”工程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 钢制乙级防火入户门要求：</w:t>
      </w:r>
      <w:r>
        <w:rPr>
          <w:rFonts w:hint="eastAsia" w:ascii="仿宋" w:hAnsi="仿宋" w:eastAsia="仿宋" w:cs="仿宋"/>
          <w:color w:val="160B11"/>
          <w:sz w:val="24"/>
          <w:szCs w:val="24"/>
          <w:u w:val="single"/>
          <w:lang w:val="en-US" w:eastAsia="zh-CN"/>
        </w:rPr>
        <w:t xml:space="preserve"> 美心.钢制乙级入户防火门，1200*2100，门框板材1.2cm，面板0.8cm，门扇厚度5cm，满足验收规范。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color w:val="160B11"/>
          <w:sz w:val="24"/>
          <w:szCs w:val="24"/>
        </w:rPr>
        <w:t>工程地址：</w:t>
      </w:r>
      <w:r>
        <w:rPr>
          <w:rFonts w:hint="eastAsia" w:ascii="仿宋" w:hAnsi="仿宋" w:eastAsia="仿宋" w:cs="仿宋"/>
          <w:sz w:val="24"/>
          <w:szCs w:val="24"/>
          <w:u w:val="single"/>
          <w:lang w:val="en-US" w:eastAsia="zh-CN"/>
        </w:rPr>
        <w:t>赤壁市疾控中心对面</w:t>
      </w:r>
      <w:r>
        <w:rPr>
          <w:rFonts w:hint="eastAsia" w:ascii="仿宋" w:hAnsi="仿宋" w:eastAsia="仿宋" w:cs="仿宋"/>
          <w:color w:val="160B11"/>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highlight w:val="none"/>
          <w:u w:val="single"/>
          <w:lang w:val="en-US" w:eastAsia="zh-CN"/>
        </w:rPr>
      </w:pPr>
      <w:r>
        <w:rPr>
          <w:rFonts w:hint="eastAsia" w:ascii="仿宋" w:hAnsi="仿宋" w:eastAsia="仿宋" w:cs="仿宋"/>
          <w:color w:val="160B11"/>
          <w:sz w:val="24"/>
        </w:rPr>
        <w:t>1.</w:t>
      </w:r>
      <w:r>
        <w:rPr>
          <w:rFonts w:hint="eastAsia" w:ascii="仿宋" w:hAnsi="仿宋" w:eastAsia="仿宋" w:cs="仿宋"/>
          <w:color w:val="160B11"/>
          <w:sz w:val="24"/>
          <w:lang w:val="en-US" w:eastAsia="zh-CN"/>
        </w:rPr>
        <w:t>4</w:t>
      </w:r>
      <w:r>
        <w:rPr>
          <w:rFonts w:hint="eastAsia" w:ascii="仿宋" w:hAnsi="仿宋" w:eastAsia="仿宋" w:cs="仿宋"/>
          <w:color w:val="160B11"/>
          <w:sz w:val="24"/>
        </w:rPr>
        <w:t>工程范围</w:t>
      </w:r>
      <w:r>
        <w:rPr>
          <w:rFonts w:hint="eastAsia" w:ascii="仿宋" w:hAnsi="仿宋" w:eastAsia="仿宋" w:cs="仿宋"/>
          <w:color w:val="160B11"/>
          <w:sz w:val="24"/>
          <w:lang w:eastAsia="zh-CN"/>
        </w:rPr>
        <w:t>：</w:t>
      </w:r>
      <w:r>
        <w:rPr>
          <w:rFonts w:hint="eastAsia" w:ascii="仿宋" w:hAnsi="仿宋" w:eastAsia="仿宋" w:cs="仿宋"/>
          <w:b w:val="0"/>
          <w:bCs w:val="0"/>
          <w:kern w:val="0"/>
          <w:sz w:val="24"/>
          <w:highlight w:val="none"/>
          <w:u w:val="single"/>
          <w:lang w:val="en-US" w:eastAsia="zh-CN"/>
        </w:rPr>
        <w:t>（1）施工图纸范围内钢制乙级防火入户门制作、安装、售后及现场安全文明施工。（2）现场施工用电、用水由发包人承担，因乙方自身办公、住宿等原因产生的水电费均由乙方承担（包括但不限于：管理人员住宿、板房办公等，乙方需在进场前自行安装水电表）；（3）乙方负责支付承包范围内的成品保护费、各阶段验收费、迎检费、杂工费等，因本项目产生的相关费用，甲方有权要求各班组进行合理分摊；（4）施工现场禁止留宿，禁止煮饭，禁止重大安全隐患行为的出现；（5）发包人有权根据承包人现场施工质量、进度、安全、现场文明施工等情况随时调整承包人的承包范围，且承包人应全力配合，需要承包人退场的，发包人按承包人已完成合格工程量70%办理结算。（6）因承包人自身原因造成项目不能验收，达不到业主方要求的，发包人不支付工程款，所有损失都由承包人自行承担。（7）工程中途因甲方、业主或外部原因造成工程停建、缓建，乙方不得提出任何索赔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val="0"/>
          <w:bCs w:val="0"/>
          <w:kern w:val="0"/>
          <w:sz w:val="24"/>
          <w:highlight w:val="none"/>
          <w:u w:val="none"/>
          <w:lang w:val="en-US" w:eastAsia="zh-CN"/>
        </w:rPr>
        <w:t>1.5工程内容：</w:t>
      </w:r>
      <w:r>
        <w:rPr>
          <w:rFonts w:hint="eastAsia" w:ascii="仿宋" w:hAnsi="仿宋" w:eastAsia="仿宋" w:cs="仿宋"/>
          <w:b w:val="0"/>
          <w:bCs w:val="0"/>
          <w:kern w:val="0"/>
          <w:sz w:val="24"/>
          <w:highlight w:val="none"/>
          <w:u w:val="single"/>
          <w:lang w:val="en-US" w:eastAsia="zh-CN"/>
        </w:rPr>
        <w:t>1、按图纸设计要求及甲方要求提供样品、按图纸要求及规范施工。2、钢制钢制乙级防火入户门：门框板材1.2cm，面板0.8cm，门扇厚度5cm。3、五金配件：上等标准。4、包制作、包安装、包运输、包灌浆、包保护、包资料、包税费、包验收、包售后。5、材料进场前必须取得甲方书面材料确认单，方可进场施工，未按要求落实的，所产生的一切损失均由乙方自行承担。</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1.6</w:t>
      </w:r>
      <w:r>
        <w:rPr>
          <w:rFonts w:hint="eastAsia" w:ascii="仿宋" w:hAnsi="仿宋" w:eastAsia="仿宋" w:cs="仿宋"/>
          <w:color w:val="160B11"/>
          <w:sz w:val="24"/>
          <w:szCs w:val="24"/>
          <w:highlight w:val="none"/>
        </w:rPr>
        <w:t>工程</w:t>
      </w:r>
      <w:r>
        <w:rPr>
          <w:rFonts w:hint="eastAsia" w:ascii="仿宋" w:hAnsi="仿宋" w:eastAsia="仿宋" w:cs="仿宋"/>
          <w:color w:val="160B11"/>
          <w:sz w:val="24"/>
          <w:szCs w:val="24"/>
          <w:highlight w:val="none"/>
          <w:lang w:val="en-US" w:eastAsia="zh-CN"/>
        </w:rPr>
        <w:t>量</w:t>
      </w:r>
      <w:r>
        <w:rPr>
          <w:rFonts w:hint="eastAsia" w:ascii="仿宋" w:hAnsi="仿宋" w:eastAsia="仿宋" w:cs="仿宋"/>
          <w:color w:val="160B11"/>
          <w:sz w:val="24"/>
          <w:szCs w:val="24"/>
          <w:highlight w:val="none"/>
        </w:rPr>
        <w:t>：</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highlight w:val="none"/>
          <w:u w:val="single"/>
          <w:lang w:val="en-US" w:eastAsia="zh-CN"/>
        </w:rPr>
        <w:t>以图纸、现场实际完成工程量为结算依据；</w:t>
      </w:r>
      <w:r>
        <w:rPr>
          <w:rFonts w:hint="eastAsia" w:ascii="仿宋" w:hAnsi="仿宋" w:eastAsia="仿宋" w:cs="仿宋"/>
          <w:color w:val="auto"/>
          <w:kern w:val="0"/>
          <w:sz w:val="24"/>
          <w:highlight w:val="none"/>
          <w:u w:val="single"/>
          <w:lang w:val="en-US" w:eastAsia="zh-CN"/>
        </w:rPr>
        <w:t>②</w:t>
      </w:r>
      <w:r>
        <w:rPr>
          <w:rFonts w:hint="eastAsia" w:ascii="仿宋" w:hAnsi="仿宋" w:eastAsia="仿宋" w:cs="仿宋"/>
          <w:color w:val="auto"/>
          <w:sz w:val="24"/>
          <w:highlight w:val="none"/>
          <w:u w:val="single"/>
        </w:rPr>
        <w:t>图纸有其他变更，以甲方</w:t>
      </w:r>
      <w:r>
        <w:rPr>
          <w:rFonts w:hint="eastAsia" w:ascii="仿宋" w:hAnsi="仿宋" w:eastAsia="仿宋" w:cs="仿宋"/>
          <w:color w:val="auto"/>
          <w:sz w:val="24"/>
          <w:highlight w:val="none"/>
          <w:u w:val="single"/>
          <w:lang w:val="en-US" w:eastAsia="zh-CN"/>
        </w:rPr>
        <w:t>及</w:t>
      </w:r>
      <w:r>
        <w:rPr>
          <w:rFonts w:hint="eastAsia" w:ascii="仿宋" w:hAnsi="仿宋" w:eastAsia="仿宋" w:cs="仿宋"/>
          <w:color w:val="auto"/>
          <w:sz w:val="24"/>
          <w:highlight w:val="none"/>
          <w:u w:val="single"/>
        </w:rPr>
        <w:t>业主认可的签证为准。</w:t>
      </w:r>
      <w:r>
        <w:rPr>
          <w:rFonts w:hint="eastAsia" w:ascii="仿宋" w:hAnsi="仿宋" w:eastAsia="仿宋" w:cs="仿宋"/>
          <w:color w:val="auto"/>
          <w:sz w:val="24"/>
          <w:highlight w:val="none"/>
          <w:u w:val="single"/>
          <w:lang w:val="en-US" w:eastAsia="zh-CN"/>
        </w:rPr>
        <w:t>③</w:t>
      </w:r>
      <w:r>
        <w:rPr>
          <w:rFonts w:hint="eastAsia" w:ascii="仿宋" w:hAnsi="仿宋" w:eastAsia="仿宋" w:cs="仿宋"/>
          <w:color w:val="auto"/>
          <w:sz w:val="24"/>
          <w:highlight w:val="none"/>
          <w:u w:val="single"/>
        </w:rPr>
        <w:t>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5"/>
        <w:keepNext w:val="0"/>
        <w:keepLines w:val="0"/>
        <w:pageBreakBefore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sz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u w:val="single"/>
        </w:rPr>
        <w:t>以固定含税综合</w:t>
      </w:r>
      <w:r>
        <w:rPr>
          <w:rFonts w:hint="eastAsia" w:ascii="仿宋" w:hAnsi="仿宋" w:eastAsia="仿宋" w:cs="仿宋"/>
          <w:sz w:val="24"/>
          <w:u w:val="single"/>
          <w:lang w:val="en-US" w:eastAsia="zh-CN"/>
        </w:rPr>
        <w:t>单</w:t>
      </w:r>
      <w:r>
        <w:rPr>
          <w:rFonts w:hint="eastAsia" w:ascii="仿宋" w:hAnsi="仿宋" w:eastAsia="仿宋" w:cs="仿宋"/>
          <w:sz w:val="24"/>
          <w:u w:val="single"/>
        </w:rPr>
        <w:t>价包干</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后期不作任何调整。如有漏项由报价人自行承担。如因发包人原因增加项目的，甲乙双方协商单独计费。</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rPr>
        <w:t>2.2</w:t>
      </w:r>
      <w:r>
        <w:rPr>
          <w:rFonts w:hint="eastAsia" w:ascii="仿宋" w:hAnsi="仿宋" w:eastAsia="仿宋" w:cs="仿宋"/>
          <w:kern w:val="0"/>
          <w:sz w:val="24"/>
          <w:szCs w:val="24"/>
          <w:u w:val="single"/>
          <w:lang w:val="en-US" w:eastAsia="zh-CN" w:bidi="ar-SA"/>
        </w:rPr>
        <w:t xml:space="preserve">包质量、包安全、包工期、包文明施工、包人工、包主材、包辅材、包机械设备、包验收、包清扫、包税金、包资料等内容。 </w:t>
      </w:r>
      <w:r>
        <w:rPr>
          <w:rFonts w:hint="eastAsia" w:ascii="仿宋" w:hAnsi="仿宋" w:eastAsia="仿宋" w:cs="仿宋"/>
          <w:sz w:val="24"/>
          <w:szCs w:val="24"/>
          <w:u w:val="none"/>
          <w:lang w:val="en-US" w:eastAsia="zh-CN"/>
        </w:rPr>
        <w:t xml:space="preserve"> </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w:t>
      </w:r>
    </w:p>
    <w:p>
      <w:pPr>
        <w:pStyle w:val="5"/>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 xml:space="preserve"> 2.4人员要求：</w:t>
      </w:r>
      <w:r>
        <w:rPr>
          <w:rFonts w:hint="eastAsia" w:ascii="仿宋" w:hAnsi="仿宋" w:eastAsia="仿宋" w:cs="仿宋"/>
          <w:sz w:val="24"/>
          <w:szCs w:val="24"/>
          <w:u w:val="single"/>
          <w:lang w:val="en-US" w:eastAsia="zh-CN"/>
        </w:rPr>
        <w:t>现场管理人员要求：现场负责人1名、技术负责人1名、专职安全员1名、杂工1名；施工人员要求：满足项目进度要求，每天及时向项目部报送施工人员名单。</w:t>
      </w:r>
      <w:r>
        <w:rPr>
          <w:rFonts w:hint="eastAsia" w:ascii="仿宋" w:hAnsi="仿宋" w:eastAsia="仿宋" w:cs="仿宋"/>
          <w:b/>
          <w:bCs/>
          <w:sz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r>
        <w:rPr>
          <w:rFonts w:hint="eastAsia" w:ascii="仿宋" w:hAnsi="仿宋" w:eastAsia="仿宋" w:cs="仿宋"/>
          <w:b/>
          <w:bCs/>
          <w:sz w:val="24"/>
          <w:szCs w:val="24"/>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lang w:val="en-US" w:eastAsia="zh-CN"/>
        </w:rPr>
        <w:t>三、</w:t>
      </w:r>
      <w:r>
        <w:rPr>
          <w:rFonts w:hint="eastAsia" w:ascii="仿宋" w:hAnsi="仿宋" w:eastAsia="仿宋" w:cs="仿宋"/>
          <w:b/>
          <w:bCs/>
          <w:sz w:val="24"/>
        </w:rPr>
        <w:t>工作内容及技术要求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u w:val="single"/>
          <w:lang w:val="en-US" w:eastAsia="zh-CN"/>
        </w:rPr>
        <w:t>3.1工作内容：按施工图及甲方要求施工，完成钢制乙级防火入户门施工内容。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作为一般承包人根据实际情况推断出为完成此项完整工程所需要的全部内容。</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u w:val="single"/>
          <w:lang w:val="en-US" w:eastAsia="zh-CN"/>
        </w:rPr>
        <w:t>以上承包范围及工作内容所需要的所有费用均已包含在报价中。</w:t>
      </w:r>
    </w:p>
    <w:p>
      <w:pPr>
        <w:keepNext w:val="0"/>
        <w:keepLines w:val="0"/>
        <w:pageBreakBefore w:val="0"/>
        <w:numPr>
          <w:ilvl w:val="0"/>
          <w:numId w:val="0"/>
        </w:numPr>
        <w:kinsoku/>
        <w:wordWrap/>
        <w:overflowPunct/>
        <w:topLinePunct w:val="0"/>
        <w:autoSpaceDE/>
        <w:autoSpaceDN/>
        <w:bidi w:val="0"/>
        <w:snapToGrid/>
        <w:spacing w:line="480" w:lineRule="exact"/>
        <w:textAlignment w:val="auto"/>
      </w:pPr>
      <w:r>
        <w:rPr>
          <w:rFonts w:hint="eastAsia" w:ascii="仿宋" w:hAnsi="仿宋" w:eastAsia="仿宋" w:cs="仿宋"/>
          <w:b/>
          <w:bCs/>
          <w:kern w:val="0"/>
          <w:sz w:val="24"/>
          <w:szCs w:val="24"/>
          <w:u w:val="none"/>
          <w:lang w:val="en-US" w:eastAsia="zh-CN"/>
        </w:rPr>
        <w:t>四、质量、安全、现场文明施工及技术要求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4.1工程质量标准：</w:t>
      </w:r>
      <w:r>
        <w:rPr>
          <w:rFonts w:hint="eastAsia" w:ascii="仿宋" w:hAnsi="仿宋" w:eastAsia="仿宋" w:cs="仿宋"/>
          <w:sz w:val="24"/>
          <w:u w:val="single"/>
        </w:rPr>
        <w:t>乙方承包的所属工程质量必须达到一次交验合格要求。所有工序必须样板先行，未达到业主、甲方、监理要求的，一律不得进入下道工序。若验收不合格，自愿接受按工程总造价5%处罚并整改达到合格标准为止。</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4.2安全要求：</w:t>
      </w:r>
      <w:r>
        <w:rPr>
          <w:rFonts w:hint="eastAsia" w:ascii="仿宋" w:hAnsi="仿宋" w:eastAsia="仿宋" w:cs="仿宋"/>
          <w:sz w:val="24"/>
          <w:u w:val="single"/>
        </w:rPr>
        <w:t>确保不发生一般事故等级及以上的安全生产事故且死亡人数为零。</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none"/>
        </w:rPr>
        <w:t>4.3现场文明施工要求：</w:t>
      </w:r>
      <w:r>
        <w:rPr>
          <w:rFonts w:hint="eastAsia" w:ascii="仿宋" w:hAnsi="仿宋" w:eastAsia="仿宋" w:cs="仿宋"/>
          <w:sz w:val="24"/>
          <w:u w:val="single"/>
        </w:rPr>
        <w:t>达到赤壁市赤马港建筑安装工程有限公司现场文明施工标准化要求。</w:t>
      </w:r>
    </w:p>
    <w:p>
      <w:pPr>
        <w:keepNext w:val="0"/>
        <w:keepLines w:val="0"/>
        <w:pageBreakBefore w:val="0"/>
        <w:tabs>
          <w:tab w:val="left" w:pos="3261"/>
        </w:tabs>
        <w:kinsoku/>
        <w:wordWrap/>
        <w:overflowPunct/>
        <w:topLinePunct w:val="0"/>
        <w:autoSpaceDE/>
        <w:autoSpaceDN/>
        <w:bidi w:val="0"/>
        <w:snapToGrid/>
        <w:spacing w:line="480" w:lineRule="exact"/>
        <w:ind w:firstLine="480" w:firstLineChars="200"/>
        <w:textAlignment w:val="auto"/>
        <w:rPr>
          <w:rFonts w:ascii="仿宋" w:hAnsi="仿宋" w:eastAsia="仿宋" w:cs="仿宋"/>
          <w:kern w:val="0"/>
          <w:sz w:val="24"/>
          <w:u w:val="none"/>
        </w:rPr>
      </w:pPr>
      <w:r>
        <w:rPr>
          <w:rFonts w:hint="eastAsia" w:ascii="仿宋" w:hAnsi="仿宋" w:eastAsia="仿宋" w:cs="仿宋"/>
          <w:sz w:val="24"/>
          <w:u w:val="none"/>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sz w:val="24"/>
          <w:szCs w:val="24"/>
          <w:highlight w:val="yellow"/>
          <w:lang w:val="en-US" w:eastAsia="zh-CN"/>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highlight w:val="none"/>
          <w:lang w:val="en-US" w:eastAsia="zh-CN"/>
        </w:rPr>
        <w:t>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color w:val="160B11"/>
          <w:sz w:val="24"/>
          <w:szCs w:val="24"/>
          <w:highlight w:val="none"/>
          <w:lang w:val="en-US" w:eastAsia="zh-CN"/>
        </w:rPr>
        <w:t>5.1含税综合包干单价:</w:t>
      </w:r>
      <w:r>
        <w:rPr>
          <w:rFonts w:hint="eastAsia" w:ascii="仿宋" w:hAnsi="仿宋" w:eastAsia="仿宋" w:cs="仿宋"/>
          <w:b w:val="0"/>
          <w:bCs w:val="0"/>
          <w:color w:val="160B11"/>
          <w:sz w:val="24"/>
          <w:szCs w:val="24"/>
          <w:highlight w:val="none"/>
          <w:u w:val="none"/>
          <w:vertAlign w:val="baseline"/>
          <w:lang w:val="en-US" w:eastAsia="zh-CN"/>
        </w:rPr>
        <w:t>HM乙1221（隔热乙级A1.00）钢制乙级防火入户门</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元/樘，其中：材料费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元/樘，安装费</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元/樘。且由乙方提供</w:t>
      </w:r>
      <w:r>
        <w:rPr>
          <w:rFonts w:hint="eastAsia" w:ascii="仿宋" w:hAnsi="仿宋" w:eastAsia="仿宋" w:cs="仿宋"/>
          <w:color w:val="160B11"/>
          <w:sz w:val="24"/>
          <w:szCs w:val="24"/>
          <w:highlight w:val="none"/>
          <w:u w:val="single"/>
          <w:lang w:val="en-US" w:eastAsia="zh-CN"/>
        </w:rPr>
        <w:t xml:space="preserve"> 13%增值税专用</w:t>
      </w:r>
      <w:r>
        <w:rPr>
          <w:rFonts w:hint="eastAsia" w:ascii="仿宋" w:hAnsi="仿宋" w:eastAsia="仿宋" w:cs="仿宋"/>
          <w:color w:val="160B11"/>
          <w:sz w:val="24"/>
          <w:szCs w:val="24"/>
          <w:highlight w:val="none"/>
          <w:u w:val="none"/>
          <w:lang w:val="en-US" w:eastAsia="zh-CN"/>
        </w:rPr>
        <w:t>发票。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场内清洁费、道路清扫费、场地看护费、垃圾清理和外运费、成品保护费、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施工引发的罚款、运输车辆违章、肇事的责任和费用；③由于施工造成的其他建筑物和市政设施、管线损坏的修复和赔偿费用；④负责所有工人的劳动保护及养老保险费、各种税金、利润、国家和地方规定的任何收费；⑤因各方面原因所产生的窝工费。无论任何情况，合同价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val="0"/>
          <w:bCs w:val="0"/>
          <w:kern w:val="0"/>
          <w:sz w:val="24"/>
          <w:szCs w:val="24"/>
          <w:highlight w:val="none"/>
          <w:u w:val="single"/>
          <w:lang w:val="en-US" w:eastAsia="zh-CN"/>
        </w:rPr>
        <w:t>总工期60个日历天。自合同签订之日起20天内，首批材料进场安装，且满足项目进度要求。每逾期一日，按1000元/天向甲方支付违约金。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pStyle w:val="2"/>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仿宋" w:hAnsi="仿宋" w:eastAsia="仿宋" w:cs="仿宋"/>
          <w:sz w:val="24"/>
          <w:szCs w:val="24"/>
          <w:highlight w:val="red"/>
          <w:u w:val="single"/>
          <w:lang w:val="en-US" w:eastAsia="zh-CN"/>
        </w:rPr>
      </w:pPr>
      <w:r>
        <w:rPr>
          <w:rFonts w:hint="eastAsia" w:ascii="仿宋" w:hAnsi="仿宋" w:eastAsia="仿宋" w:cs="仿宋"/>
          <w:sz w:val="24"/>
          <w:szCs w:val="24"/>
          <w:highlight w:val="none"/>
          <w:lang w:val="en-US" w:eastAsia="zh-CN"/>
        </w:rPr>
        <w:t>7.1</w:t>
      </w:r>
      <w:r>
        <w:rPr>
          <w:rFonts w:hint="eastAsia" w:ascii="仿宋" w:hAnsi="仿宋" w:eastAsia="仿宋" w:cs="仿宋"/>
          <w:sz w:val="24"/>
          <w:szCs w:val="24"/>
          <w:highlight w:val="none"/>
          <w:u w:val="single"/>
          <w:lang w:val="en-US" w:eastAsia="zh-CN"/>
        </w:rPr>
        <w:t>（1）材料费：本项目合同签订完成7日内预付20%材料款作为定金；发货前支付至批次材料款的75%；货物到达甲方指定位置且经甲方验收合格支付至批次材料款的85%；工程竣工验收合格且双方结算完成甲方支付至材料款的95%；（2）安装费：安装完毕经甲方验收，甲方支付至安装费的70%，工程竣工验收合格且双方结算完成甲方支付至安装费的95%；（3）余5%作为质保金，质保期为1年，油漆质保5年（人为原因损坏除外），质保期从工程竣工验收合格之日起开始计算。（4）每次请款需提供全额发票，否则甲方有权不予以支付任何款项，所造成的损失由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b w:val="0"/>
          <w:bCs w:val="0"/>
          <w:lang w:val="en-US" w:eastAsia="zh-CN"/>
        </w:rPr>
      </w:pPr>
      <w:r>
        <w:rPr>
          <w:rFonts w:hint="eastAsia" w:ascii="仿宋" w:hAnsi="仿宋" w:eastAsia="仿宋" w:cs="仿宋"/>
          <w:b w:val="0"/>
          <w:bCs w:val="0"/>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有权监督工程质量、安全、进度、文明施工等管理工作，对乙方在操作过程中存在的工期、质量、安全、文明施工等问题有权提出限期整改、处罚措施，并有权解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8.8工程中途因甲方或业主原因造成工程停建、缓建，甲方协助乙方推进工作，但乙方不得向甲方提出任何索赔要求。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代表乙方履行本合同，联系电话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。负责施工期间的全面管理，包括但不限于：施工期间的施工进度、质量、安全和文明施工等现场施工管理。现场负责人不在现场时应明确其带班人员负责，未按要求落实的，每次罚款1000元。</w:t>
      </w:r>
      <w:r>
        <w:rPr>
          <w:rFonts w:hint="eastAsia" w:ascii="仿宋" w:hAnsi="仿宋" w:eastAsia="仿宋" w:cs="仿宋"/>
          <w:b/>
          <w:bCs/>
          <w:sz w:val="24"/>
          <w:szCs w:val="24"/>
          <w:lang w:val="en-US" w:eastAsia="zh-CN"/>
        </w:rPr>
        <w:t>现场负责人外出，应向项目经理请假，经批准后方可离开现场。</w:t>
      </w:r>
      <w:r>
        <w:rPr>
          <w:rFonts w:hint="eastAsia" w:ascii="仿宋" w:hAnsi="仿宋" w:eastAsia="仿宋" w:cs="仿宋"/>
          <w:sz w:val="24"/>
          <w:szCs w:val="24"/>
          <w:lang w:val="en-US" w:eastAsia="zh-CN"/>
        </w:rPr>
        <w:t>若乙方变更现场代表，须提前7天以书面形式通知甲方并经甲方认可，其后任必须承担前任应负的责任。</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9.5若有偷窃行为，直接移送公安机关。所有余料、废料由乙方整理成堆，未按要求落实的，每次罚款200元。</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9.11服从业主、总包方、监理的统一管理和现场的统一协调，做好与监理、总包方及其他交叉施工单位的配合工作。</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9.16现场所有人员必须着甲方统一工作服，佩戴安全帽，由乙方合同签订人在公司办理服装领用手续，押金100元/套，项目完工，按归还套数退押金。</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szCs w:val="24"/>
        </w:rPr>
      </w:pPr>
      <w:r>
        <w:rPr>
          <w:rFonts w:hint="eastAsia" w:ascii="仿宋" w:hAnsi="仿宋" w:eastAsia="仿宋" w:cs="仿宋"/>
          <w:sz w:val="24"/>
          <w:szCs w:val="24"/>
          <w:lang w:val="en-US" w:eastAsia="zh-CN"/>
        </w:rPr>
        <w:t>9.18</w:t>
      </w:r>
      <w:r>
        <w:rPr>
          <w:rFonts w:hint="eastAsia" w:ascii="仿宋" w:hAnsi="仿宋" w:eastAsia="仿宋" w:cs="仿宋"/>
          <w:b/>
          <w:bCs/>
          <w:sz w:val="24"/>
          <w:szCs w:val="24"/>
          <w:lang w:val="en-US" w:eastAsia="zh-CN"/>
        </w:rPr>
        <w:t>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sz w:val="24"/>
          <w:lang w:val="en-US" w:eastAsia="zh-CN"/>
        </w:rPr>
        <w:t>十</w:t>
      </w:r>
      <w:r>
        <w:rPr>
          <w:rFonts w:hint="eastAsia" w:ascii="仿宋" w:hAnsi="仿宋" w:eastAsia="仿宋" w:cs="仿宋"/>
          <w:b/>
          <w:bCs/>
          <w:sz w:val="24"/>
        </w:rPr>
        <w:t>、</w:t>
      </w:r>
      <w:r>
        <w:rPr>
          <w:rFonts w:hint="eastAsia" w:ascii="仿宋" w:hAnsi="仿宋" w:eastAsia="仿宋" w:cs="仿宋"/>
          <w:b/>
          <w:bCs/>
          <w:color w:val="160B11"/>
          <w:sz w:val="24"/>
          <w:szCs w:val="24"/>
          <w:lang w:val="en-US" w:eastAsia="zh-CN"/>
        </w:rPr>
        <w:t>安全要求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10.1乙方必须无条件执行甲方安全管理规定和安全生产的指令。对所有进场人员进行安全教育并做好记录，做好各种安全防护措施，乙方所有人员的人身安全、工伤事故责任及处理均由乙方负责。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sz w:val="24"/>
        </w:rPr>
      </w:pPr>
      <w:r>
        <w:rPr>
          <w:rFonts w:hint="eastAsia" w:ascii="仿宋" w:hAnsi="仿宋" w:eastAsia="仿宋" w:cs="仿宋"/>
          <w:sz w:val="24"/>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rPr>
        <w:t>做好每天班前安全交底，每周安全教育，教育记录记入班组施工日志。</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10.4对于承包范围的安全防护要及时设置，对安全隐患要及时处理。否则，甲方有权安排其他人员进行清理，所支工资在乙方工程款中双倍扣除。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10.5乙方必须确保特殊工种操作人员持有特种作业人员操作证。特殊工种上岗证原件必须放在工地随时准备备查，做到人证一一对应。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w:t>
      </w:r>
      <w:r>
        <w:rPr>
          <w:rFonts w:hint="eastAsia" w:ascii="仿宋" w:hAnsi="仿宋" w:eastAsia="仿宋" w:cs="仿宋"/>
          <w:b/>
          <w:bCs/>
          <w:sz w:val="24"/>
          <w:szCs w:val="24"/>
          <w:lang w:val="en-US" w:eastAsia="zh-CN"/>
        </w:rPr>
        <w:t>现场</w:t>
      </w:r>
      <w:r>
        <w:rPr>
          <w:rFonts w:hint="eastAsia" w:ascii="仿宋" w:hAnsi="仿宋" w:eastAsia="仿宋" w:cs="仿宋"/>
          <w:b/>
          <w:bCs/>
          <w:sz w:val="24"/>
        </w:rPr>
        <w:t>文明施工</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11.4交工验收之前，做好一次全面清洁，并配合甲方做好各级验收工作。</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二</w:t>
      </w:r>
      <w:r>
        <w:rPr>
          <w:rFonts w:hint="eastAsia" w:ascii="仿宋" w:hAnsi="仿宋" w:eastAsia="仿宋" w:cs="仿宋"/>
          <w:b/>
          <w:bCs/>
          <w:sz w:val="24"/>
        </w:rPr>
        <w:t>、劳动</w:t>
      </w:r>
      <w:r>
        <w:rPr>
          <w:rFonts w:hint="eastAsia" w:ascii="仿宋" w:hAnsi="仿宋" w:eastAsia="仿宋" w:cs="仿宋"/>
          <w:b/>
          <w:bCs/>
          <w:sz w:val="24"/>
          <w:lang w:val="en-US" w:eastAsia="zh-CN"/>
        </w:rPr>
        <w:t>力</w:t>
      </w:r>
      <w:r>
        <w:rPr>
          <w:rFonts w:hint="eastAsia" w:ascii="仿宋" w:hAnsi="仿宋" w:eastAsia="仿宋" w:cs="仿宋"/>
          <w:b/>
          <w:bCs/>
          <w:sz w:val="24"/>
        </w:rPr>
        <w:t>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12.5所有劳动工作者工资均采用实名制支付，实名制系统考勤记录作为发放工资的唯一依据。</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sz w:val="24"/>
        </w:rPr>
      </w:pPr>
      <w:r>
        <w:rPr>
          <w:rFonts w:hint="eastAsia" w:ascii="仿宋" w:hAnsi="仿宋" w:eastAsia="仿宋" w:cs="仿宋"/>
          <w:sz w:val="24"/>
        </w:rPr>
        <w:t>12.6乙方负责统计劳动工作者用工情况，并制作工资发放表，由甲方负责代为发放。若发现乙方在此过程中造假，甲方有权对乙方处以造假金额两倍以上的罚款。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rPr>
      </w:pPr>
      <w:r>
        <w:rPr>
          <w:rFonts w:hint="eastAsia" w:ascii="仿宋" w:hAnsi="仿宋" w:eastAsia="仿宋" w:cs="仿宋"/>
          <w:sz w:val="24"/>
        </w:rPr>
        <w:t>12.7工作期间、工地范围内严禁喝酒、斗殴等，由此造成的一切安全事故由乙方负责，严重时出现违法治安管理条例或刑事事故的，移交公安机关处理。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三</w:t>
      </w:r>
      <w:r>
        <w:rPr>
          <w:rFonts w:hint="eastAsia" w:ascii="仿宋" w:hAnsi="仿宋" w:eastAsia="仿宋" w:cs="仿宋"/>
          <w:b/>
          <w:bCs/>
          <w:sz w:val="24"/>
        </w:rPr>
        <w:t>、罚则</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13.1</w:t>
      </w:r>
      <w:r>
        <w:rPr>
          <w:rFonts w:hint="eastAsia" w:ascii="仿宋" w:hAnsi="仿宋" w:eastAsia="仿宋" w:cs="仿宋"/>
          <w:b/>
          <w:bCs/>
          <w:color w:val="000000" w:themeColor="text1"/>
          <w:sz w:val="24"/>
          <w14:textFill>
            <w14:solidFill>
              <w14:schemeClr w14:val="tx1"/>
            </w14:solidFill>
          </w14:textFill>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13.3落实安全生产三级教育制度，未组织进行安全生产教育并考试合格的、未积极配合项目部安全生产教育活动，每人每次罚款200元。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13.4乙方未按甲方安全生产要求、质量要求、现场文明施工要求、劳动者管理要求等内容进行落实的，甲方有权处以乙方每人每次最低200元的罚款。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13.5乙方未在甲方制定的工期要求完成的，每延迟一天，按1000元/天支付违约金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13.6自进场开始，乙方必须严格按照甲方总体工期计划执行，按照甲方要求需要加班加点的，乙方要无条件服从。否则，罚款1000元/次。</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13.8所有工序必须样板先行，未达到业主、甲方、监理要求的，一律不得进入下道工序，未按要求落实，每次罚款5000元。连续2次（含）以上的，直接退场，并按已完成工程量的70%进行结算，并承担所有违约责任。</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十四、履约保证金</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14.1</w:t>
      </w:r>
      <w:r>
        <w:rPr>
          <w:rFonts w:hint="eastAsia" w:ascii="仿宋" w:hAnsi="仿宋" w:eastAsia="仿宋" w:cs="仿宋"/>
          <w:b/>
          <w:bCs/>
          <w:color w:val="000000" w:themeColor="text1"/>
          <w:sz w:val="24"/>
          <w14:textFill>
            <w14:solidFill>
              <w14:schemeClr w14:val="tx1"/>
            </w14:solidFill>
          </w14:textFill>
        </w:rPr>
        <w:t>本工程履约保证金为人民币：</w:t>
      </w:r>
      <w:r>
        <w:rPr>
          <w:rFonts w:hint="eastAsia" w:ascii="仿宋" w:hAnsi="仿宋" w:eastAsia="仿宋" w:cs="仿宋"/>
          <w:b/>
          <w:bCs/>
          <w:color w:val="000000" w:themeColor="text1"/>
          <w:sz w:val="24"/>
          <w:u w:val="single"/>
          <w14:textFill>
            <w14:solidFill>
              <w14:schemeClr w14:val="tx1"/>
            </w14:solidFill>
          </w14:textFill>
        </w:rPr>
        <w:t xml:space="preserve"> 壹 </w:t>
      </w:r>
      <w:r>
        <w:rPr>
          <w:rFonts w:hint="eastAsia" w:ascii="仿宋" w:hAnsi="仿宋" w:eastAsia="仿宋" w:cs="仿宋"/>
          <w:b/>
          <w:bCs/>
          <w:color w:val="000000" w:themeColor="text1"/>
          <w:sz w:val="24"/>
          <w14:textFill>
            <w14:solidFill>
              <w14:schemeClr w14:val="tx1"/>
            </w14:solidFill>
          </w14:textFill>
        </w:rPr>
        <w:t>万元，履约保证金不计利息或资金占用费。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⑥报名/报价文件承诺事项。</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14.3履约保证金返还时间：</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u w:val="single"/>
          <w:lang w:val="en-US" w:eastAsia="zh-CN"/>
          <w14:textFill>
            <w14:solidFill>
              <w14:schemeClr w14:val="tx1"/>
            </w14:solidFill>
          </w14:textFill>
        </w:rPr>
        <w:t>完成施工内容</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十五、违约责任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15.2乙方未能按合同约定期限内完工的，每逾期一日，按1000元/天向甲方支付违约金。逾期超过五日，甲方有权解除合同。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15.6甲方依本合同之规定解除合同的，甲方有权单方解除合同清退乙方出场，按乙方完成合格工程量总价款的70%支付(其余措施费不予结算)，造成的损失甲方直接在工程款中扣减。包括但不限于：乙方不能履行合同中约定的质量、进度、安全、现场文明施工要求的。</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15.8因乙方施工造成甲方工程质量问题的，甲方有权向乙方追究由此而产生的经济、法律责任。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十六、合同终止</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十七、保密条款</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17.3保密条款具有独立性，不受本合同的终止或解除的影响。</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十八、争议的解决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甲方对本合同任何条款有最终的解释权。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十九、其它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19.1本合同自双方签字盖章之日起生效，合同履行期内，甲乙双方均不得随意变更或解除合同。合同如有未尽事宜，经双方协商一致，可签订补充协议，补充协议与本合同具有同等效力。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19.2本合同一式</w:t>
      </w:r>
      <w:r>
        <w:rPr>
          <w:rFonts w:hint="eastAsia" w:ascii="仿宋" w:hAnsi="仿宋" w:eastAsia="仿宋" w:cs="仿宋"/>
          <w:color w:val="000000" w:themeColor="text1"/>
          <w:sz w:val="24"/>
          <w:u w:val="single"/>
          <w14:textFill>
            <w14:solidFill>
              <w14:schemeClr w14:val="tx1"/>
            </w14:solidFill>
          </w14:textFill>
        </w:rPr>
        <w:t xml:space="preserve"> 叁 </w:t>
      </w:r>
      <w:r>
        <w:rPr>
          <w:rFonts w:hint="eastAsia" w:ascii="仿宋" w:hAnsi="仿宋" w:eastAsia="仿宋" w:cs="仿宋"/>
          <w:color w:val="000000" w:themeColor="text1"/>
          <w:sz w:val="24"/>
          <w14:textFill>
            <w14:solidFill>
              <w14:schemeClr w14:val="tx1"/>
            </w14:solidFill>
          </w14:textFill>
        </w:rPr>
        <w:t>份，甲方</w:t>
      </w:r>
      <w:r>
        <w:rPr>
          <w:rFonts w:hint="eastAsia" w:ascii="仿宋" w:hAnsi="仿宋" w:eastAsia="仿宋" w:cs="仿宋"/>
          <w:color w:val="000000" w:themeColor="text1"/>
          <w:sz w:val="24"/>
          <w:u w:val="single"/>
          <w14:textFill>
            <w14:solidFill>
              <w14:schemeClr w14:val="tx1"/>
            </w14:solidFill>
          </w14:textFill>
        </w:rPr>
        <w:t xml:space="preserve"> 贰 </w:t>
      </w:r>
      <w:r>
        <w:rPr>
          <w:rFonts w:hint="eastAsia" w:ascii="仿宋" w:hAnsi="仿宋" w:eastAsia="仿宋" w:cs="仿宋"/>
          <w:color w:val="000000" w:themeColor="text1"/>
          <w:sz w:val="24"/>
          <w14:textFill>
            <w14:solidFill>
              <w14:schemeClr w14:val="tx1"/>
            </w14:solidFill>
          </w14:textFill>
        </w:rPr>
        <w:t>份，乙方</w:t>
      </w:r>
      <w:r>
        <w:rPr>
          <w:rFonts w:hint="eastAsia" w:ascii="仿宋" w:hAnsi="仿宋" w:eastAsia="仿宋" w:cs="仿宋"/>
          <w:color w:val="000000" w:themeColor="text1"/>
          <w:sz w:val="24"/>
          <w:u w:val="single"/>
          <w14:textFill>
            <w14:solidFill>
              <w14:schemeClr w14:val="tx1"/>
            </w14:solidFill>
          </w14:textFill>
        </w:rPr>
        <w:t xml:space="preserve"> 壹 </w:t>
      </w:r>
      <w:r>
        <w:rPr>
          <w:rFonts w:hint="eastAsia" w:ascii="仿宋" w:hAnsi="仿宋" w:eastAsia="仿宋" w:cs="仿宋"/>
          <w:color w:val="000000" w:themeColor="text1"/>
          <w:sz w:val="24"/>
          <w14:textFill>
            <w14:solidFill>
              <w14:schemeClr w14:val="tx1"/>
            </w14:solidFill>
          </w14:textFill>
        </w:rPr>
        <w:t xml:space="preserve">份，每份均具同等法律效力。    </w:t>
      </w:r>
    </w:p>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p>
    <w:p>
      <w:pPr>
        <w:pStyle w:val="11"/>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未来之城一期”</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“钢制乙级防火入户门制作安装”</w:t>
      </w:r>
      <w:r>
        <w:rPr>
          <w:rFonts w:hint="eastAsia" w:ascii="仿宋" w:hAnsi="仿宋" w:eastAsia="仿宋" w:cs="仿宋"/>
          <w:sz w:val="24"/>
          <w:szCs w:val="24"/>
          <w:lang w:val="en-US" w:eastAsia="zh-CN"/>
        </w:rPr>
        <w:t>工程</w:t>
      </w:r>
      <w:r>
        <w:rPr>
          <w:rFonts w:hint="eastAsia" w:ascii="仿宋" w:hAnsi="仿宋" w:eastAsia="仿宋" w:cs="仿宋"/>
          <w:sz w:val="24"/>
          <w:szCs w:val="24"/>
          <w:u w:val="none"/>
          <w:lang w:val="en-US" w:eastAsia="zh-CN"/>
        </w:rPr>
        <w:t>施工</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5"/>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pStyle w:val="5"/>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wordWrap/>
        <w:overflowPunct/>
        <w:topLinePunct w:val="0"/>
        <w:bidi w:val="0"/>
        <w:spacing w:line="440" w:lineRule="exac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bidi w:val="0"/>
        <w:spacing w:line="440" w:lineRule="exact"/>
        <w:textAlignment w:val="auto"/>
      </w:pPr>
    </w:p>
    <w:sectPr>
      <w:headerReference r:id="rId9" w:type="default"/>
      <w:footerReference r:id="rId10"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FBE0446-2AC3-4F4F-BA84-F992F96C2B4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AB4BFEC-40DC-4412-B6B5-24EF27644CCE}"/>
  </w:font>
  <w:font w:name="方正小标宋_GBK">
    <w:panose1 w:val="02000000000000000000"/>
    <w:charset w:val="86"/>
    <w:family w:val="auto"/>
    <w:pitch w:val="default"/>
    <w:sig w:usb0="A00002BF" w:usb1="38CF7CFA" w:usb2="00082016" w:usb3="00000000" w:csb0="00040001" w:csb1="00000000"/>
    <w:embedRegular r:id="rId3" w:fontKey="{DB6EAB15-73B8-4C44-BBCC-9918EA05BA82}"/>
  </w:font>
  <w:font w:name="微软雅黑">
    <w:panose1 w:val="020B0503020204020204"/>
    <w:charset w:val="86"/>
    <w:family w:val="auto"/>
    <w:pitch w:val="default"/>
    <w:sig w:usb0="80000287" w:usb1="2ACF3C50" w:usb2="00000016" w:usb3="00000000" w:csb0="0004001F" w:csb1="00000000"/>
    <w:embedRegular r:id="rId4" w:fontKey="{90A63D8E-59A2-45DA-9499-F5E4E55EAF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3C28DE"/>
    <w:rsid w:val="015C111A"/>
    <w:rsid w:val="03100197"/>
    <w:rsid w:val="039D17D2"/>
    <w:rsid w:val="05972365"/>
    <w:rsid w:val="05C1727E"/>
    <w:rsid w:val="06065775"/>
    <w:rsid w:val="068C79F0"/>
    <w:rsid w:val="069A210C"/>
    <w:rsid w:val="06B25C3E"/>
    <w:rsid w:val="07DB478B"/>
    <w:rsid w:val="085B1D6F"/>
    <w:rsid w:val="09B11BD0"/>
    <w:rsid w:val="0A0E1796"/>
    <w:rsid w:val="0BF150E5"/>
    <w:rsid w:val="0CD345CA"/>
    <w:rsid w:val="0D6C40D7"/>
    <w:rsid w:val="0DC857B1"/>
    <w:rsid w:val="0F17035E"/>
    <w:rsid w:val="100B36DF"/>
    <w:rsid w:val="100F22F6"/>
    <w:rsid w:val="10FD7E68"/>
    <w:rsid w:val="112F78F5"/>
    <w:rsid w:val="123B1632"/>
    <w:rsid w:val="12A444E8"/>
    <w:rsid w:val="12DE15D3"/>
    <w:rsid w:val="12E23DBF"/>
    <w:rsid w:val="13547F36"/>
    <w:rsid w:val="13AE07ED"/>
    <w:rsid w:val="140E413A"/>
    <w:rsid w:val="14452E07"/>
    <w:rsid w:val="148443FC"/>
    <w:rsid w:val="14A92A2D"/>
    <w:rsid w:val="14C842E9"/>
    <w:rsid w:val="15456FE5"/>
    <w:rsid w:val="156A38C2"/>
    <w:rsid w:val="16161D88"/>
    <w:rsid w:val="17517004"/>
    <w:rsid w:val="17D71884"/>
    <w:rsid w:val="189C7F66"/>
    <w:rsid w:val="1AD74FDF"/>
    <w:rsid w:val="1ADC289C"/>
    <w:rsid w:val="1B0D0CA7"/>
    <w:rsid w:val="1CA40A88"/>
    <w:rsid w:val="1D192024"/>
    <w:rsid w:val="1D1E3640"/>
    <w:rsid w:val="1D4344EB"/>
    <w:rsid w:val="1DF4200D"/>
    <w:rsid w:val="1DFC3543"/>
    <w:rsid w:val="1E210342"/>
    <w:rsid w:val="1E931F40"/>
    <w:rsid w:val="1F2C6073"/>
    <w:rsid w:val="1FB327BD"/>
    <w:rsid w:val="201F799D"/>
    <w:rsid w:val="20547378"/>
    <w:rsid w:val="21AD0AEE"/>
    <w:rsid w:val="21FC6FC6"/>
    <w:rsid w:val="23467F4E"/>
    <w:rsid w:val="23A56BAE"/>
    <w:rsid w:val="23E53C5E"/>
    <w:rsid w:val="23F32A04"/>
    <w:rsid w:val="261F6650"/>
    <w:rsid w:val="26263565"/>
    <w:rsid w:val="26467763"/>
    <w:rsid w:val="26C863CA"/>
    <w:rsid w:val="27F2394C"/>
    <w:rsid w:val="283C2BCC"/>
    <w:rsid w:val="284D22E2"/>
    <w:rsid w:val="28687B8A"/>
    <w:rsid w:val="286A1161"/>
    <w:rsid w:val="28C16180"/>
    <w:rsid w:val="2A133E00"/>
    <w:rsid w:val="2A224043"/>
    <w:rsid w:val="2AA561D6"/>
    <w:rsid w:val="2B420EFB"/>
    <w:rsid w:val="2BCC535A"/>
    <w:rsid w:val="2CE85E16"/>
    <w:rsid w:val="2E0A2F7A"/>
    <w:rsid w:val="2E2465DC"/>
    <w:rsid w:val="2EB77450"/>
    <w:rsid w:val="2ED56FD0"/>
    <w:rsid w:val="2F94489F"/>
    <w:rsid w:val="2FE57FED"/>
    <w:rsid w:val="30712C69"/>
    <w:rsid w:val="30FF50DE"/>
    <w:rsid w:val="31F349DA"/>
    <w:rsid w:val="3212499D"/>
    <w:rsid w:val="32B23C14"/>
    <w:rsid w:val="32BC3287"/>
    <w:rsid w:val="32E116A8"/>
    <w:rsid w:val="33B60B85"/>
    <w:rsid w:val="345D5BB2"/>
    <w:rsid w:val="34975C7C"/>
    <w:rsid w:val="36215D3C"/>
    <w:rsid w:val="36814250"/>
    <w:rsid w:val="36D52B69"/>
    <w:rsid w:val="3881462B"/>
    <w:rsid w:val="397B784E"/>
    <w:rsid w:val="39AF509D"/>
    <w:rsid w:val="3AF15A98"/>
    <w:rsid w:val="3AFD0BD3"/>
    <w:rsid w:val="3B027CA5"/>
    <w:rsid w:val="3B824942"/>
    <w:rsid w:val="3CA77E10"/>
    <w:rsid w:val="3D6562C9"/>
    <w:rsid w:val="3D7D4896"/>
    <w:rsid w:val="3ECD4126"/>
    <w:rsid w:val="3F3D74FE"/>
    <w:rsid w:val="3F9B1B59"/>
    <w:rsid w:val="3FF027C2"/>
    <w:rsid w:val="40A10B28"/>
    <w:rsid w:val="40D25EF6"/>
    <w:rsid w:val="411E335F"/>
    <w:rsid w:val="41377F7D"/>
    <w:rsid w:val="41413EAA"/>
    <w:rsid w:val="426D634C"/>
    <w:rsid w:val="448E07FB"/>
    <w:rsid w:val="44D24AA9"/>
    <w:rsid w:val="45A57BAB"/>
    <w:rsid w:val="46694F98"/>
    <w:rsid w:val="46717D66"/>
    <w:rsid w:val="46946825"/>
    <w:rsid w:val="469E490B"/>
    <w:rsid w:val="49284D7B"/>
    <w:rsid w:val="49787399"/>
    <w:rsid w:val="4A162D65"/>
    <w:rsid w:val="4A45370A"/>
    <w:rsid w:val="4B9007C4"/>
    <w:rsid w:val="4BAD090E"/>
    <w:rsid w:val="4BE156B5"/>
    <w:rsid w:val="4BFC1360"/>
    <w:rsid w:val="4CAA5ECA"/>
    <w:rsid w:val="4D1C4CF2"/>
    <w:rsid w:val="4D535D8B"/>
    <w:rsid w:val="4DDA23BB"/>
    <w:rsid w:val="4E5B44DE"/>
    <w:rsid w:val="5112518C"/>
    <w:rsid w:val="51621F8E"/>
    <w:rsid w:val="51826FF2"/>
    <w:rsid w:val="51F12A1E"/>
    <w:rsid w:val="52FD1026"/>
    <w:rsid w:val="5381648E"/>
    <w:rsid w:val="541A5C08"/>
    <w:rsid w:val="54240834"/>
    <w:rsid w:val="544715CA"/>
    <w:rsid w:val="544D1BE6"/>
    <w:rsid w:val="54CB6F02"/>
    <w:rsid w:val="56372AA1"/>
    <w:rsid w:val="56EF6ED8"/>
    <w:rsid w:val="57852491"/>
    <w:rsid w:val="59407E91"/>
    <w:rsid w:val="5A1D3D5C"/>
    <w:rsid w:val="5A6307F6"/>
    <w:rsid w:val="5ABB22E0"/>
    <w:rsid w:val="5B1C6802"/>
    <w:rsid w:val="5C3D3346"/>
    <w:rsid w:val="5F1C0A86"/>
    <w:rsid w:val="5F737649"/>
    <w:rsid w:val="5FCE2169"/>
    <w:rsid w:val="60B62064"/>
    <w:rsid w:val="60F90953"/>
    <w:rsid w:val="616404C2"/>
    <w:rsid w:val="6268271E"/>
    <w:rsid w:val="62B86D17"/>
    <w:rsid w:val="633A53EE"/>
    <w:rsid w:val="639B16A7"/>
    <w:rsid w:val="63AF0D5C"/>
    <w:rsid w:val="651916F7"/>
    <w:rsid w:val="652725B2"/>
    <w:rsid w:val="65CF79D7"/>
    <w:rsid w:val="65E64340"/>
    <w:rsid w:val="661C45C6"/>
    <w:rsid w:val="664C3B1D"/>
    <w:rsid w:val="668F2364"/>
    <w:rsid w:val="66CC4065"/>
    <w:rsid w:val="676015D8"/>
    <w:rsid w:val="67915D89"/>
    <w:rsid w:val="679661B2"/>
    <w:rsid w:val="67AE4AED"/>
    <w:rsid w:val="6828049B"/>
    <w:rsid w:val="688F051A"/>
    <w:rsid w:val="6B4D3AD1"/>
    <w:rsid w:val="6C944351"/>
    <w:rsid w:val="6DC163F6"/>
    <w:rsid w:val="6E320AAC"/>
    <w:rsid w:val="6EE91ECE"/>
    <w:rsid w:val="6F3F2FDE"/>
    <w:rsid w:val="6FB27ACC"/>
    <w:rsid w:val="6FD254B1"/>
    <w:rsid w:val="70176BF5"/>
    <w:rsid w:val="70B27E82"/>
    <w:rsid w:val="7108645A"/>
    <w:rsid w:val="71D63A9F"/>
    <w:rsid w:val="72585877"/>
    <w:rsid w:val="727A5D97"/>
    <w:rsid w:val="72E256EB"/>
    <w:rsid w:val="7487397A"/>
    <w:rsid w:val="76D87530"/>
    <w:rsid w:val="77465256"/>
    <w:rsid w:val="776A4764"/>
    <w:rsid w:val="778C3E77"/>
    <w:rsid w:val="77E37F3B"/>
    <w:rsid w:val="77F008AA"/>
    <w:rsid w:val="79701CA2"/>
    <w:rsid w:val="79C81D2A"/>
    <w:rsid w:val="7C8B0BA1"/>
    <w:rsid w:val="7CE37037"/>
    <w:rsid w:val="7CEF7382"/>
    <w:rsid w:val="7D3B2318"/>
    <w:rsid w:val="7D3D1E9B"/>
    <w:rsid w:val="7EE66563"/>
    <w:rsid w:val="7F39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customStyle="1" w:styleId="6">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triple" w:color="auto" w:sz="4" w:space="1"/>
      </w:pBdr>
      <w:tabs>
        <w:tab w:val="center" w:pos="4153"/>
        <w:tab w:val="right" w:pos="8306"/>
      </w:tabs>
      <w:snapToGrid w:val="0"/>
      <w:jc w:val="center"/>
    </w:pPr>
    <w:rPr>
      <w:sz w:val="18"/>
    </w:rPr>
  </w:style>
  <w:style w:type="paragraph" w:styleId="10">
    <w:name w:val="List"/>
    <w:basedOn w:val="1"/>
    <w:qFormat/>
    <w:uiPriority w:val="0"/>
    <w:pPr>
      <w:ind w:left="420" w:hanging="420"/>
    </w:pPr>
    <w:rPr>
      <w:szCs w:val="20"/>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14084</Words>
  <Characters>14669</Characters>
  <Lines>0</Lines>
  <Paragraphs>0</Paragraphs>
  <TotalTime>37</TotalTime>
  <ScaleCrop>false</ScaleCrop>
  <LinksUpToDate>false</LinksUpToDate>
  <CharactersWithSpaces>16860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2023-07-12T06:59:00Z</cp:lastPrinted>
  <dcterms:modified xsi:type="dcterms:W3CDTF">2023-07-15T11:25:41Z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EFCC33A3F78644A3B70AFBD26F43F903</vt:lpwstr>
  </property>
</Properties>
</file>